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D9A18C" w14:textId="77777777" w:rsidR="00CF4EBD" w:rsidRDefault="00CF4EBD" w:rsidP="00840D3A">
      <w:pPr>
        <w:spacing w:line="360" w:lineRule="auto"/>
        <w:rPr>
          <w:rFonts w:eastAsia="Calibri"/>
          <w:b/>
          <w:sz w:val="28"/>
          <w:szCs w:val="28"/>
        </w:rPr>
      </w:pPr>
      <w:bookmarkStart w:id="0" w:name="_GoBack"/>
      <w:bookmarkEnd w:id="0"/>
      <w:r>
        <w:rPr>
          <w:rFonts w:eastAsia="Calibri"/>
          <w:b/>
          <w:sz w:val="28"/>
          <w:szCs w:val="28"/>
        </w:rPr>
        <w:t xml:space="preserve">Supplemental online material </w:t>
      </w:r>
    </w:p>
    <w:p w14:paraId="7B17409D" w14:textId="5BAFDF47" w:rsidR="00840D3A" w:rsidRDefault="00840D3A" w:rsidP="00840D3A">
      <w:pPr>
        <w:spacing w:line="360" w:lineRule="auto"/>
        <w:rPr>
          <w:rFonts w:eastAsia="Calibri"/>
          <w:b/>
        </w:rPr>
      </w:pPr>
    </w:p>
    <w:p w14:paraId="4616AF2F" w14:textId="77777777" w:rsidR="00840D3A" w:rsidRPr="00F121D3" w:rsidRDefault="00840D3A" w:rsidP="00F121D3">
      <w:pPr>
        <w:jc w:val="both"/>
        <w:rPr>
          <w:rFonts w:eastAsia="Calibri"/>
          <w:b/>
        </w:rPr>
      </w:pPr>
      <w:r w:rsidRPr="00F121D3">
        <w:rPr>
          <w:rFonts w:eastAsia="Calibri"/>
          <w:b/>
        </w:rPr>
        <w:t>Appendix 1: Party backgrounds</w:t>
      </w:r>
    </w:p>
    <w:p w14:paraId="51A409D2" w14:textId="7E405ACF" w:rsidR="009477C9" w:rsidRPr="00F121D3" w:rsidRDefault="009477C9" w:rsidP="00F121D3">
      <w:pPr>
        <w:jc w:val="both"/>
        <w:rPr>
          <w:rFonts w:eastAsia="Calibri"/>
        </w:rPr>
      </w:pPr>
      <w:r w:rsidRPr="00F121D3">
        <w:rPr>
          <w:rFonts w:eastAsia="Calibri"/>
        </w:rPr>
        <w:t xml:space="preserve">The </w:t>
      </w:r>
      <w:r w:rsidRPr="00F121D3">
        <w:rPr>
          <w:rFonts w:eastAsia="Calibri"/>
          <w:i/>
        </w:rPr>
        <w:t>Austrian Freedom Party</w:t>
      </w:r>
      <w:r w:rsidRPr="00F121D3">
        <w:rPr>
          <w:rFonts w:eastAsia="Calibri"/>
        </w:rPr>
        <w:t xml:space="preserve"> (FPÖ) has a long history, from a libertarian tradition after its foundation in 1955 to a populist </w:t>
      </w:r>
      <w:r w:rsidR="001941B1">
        <w:rPr>
          <w:rFonts w:eastAsia="Calibri"/>
        </w:rPr>
        <w:t xml:space="preserve">radical right </w:t>
      </w:r>
      <w:r w:rsidRPr="00F121D3">
        <w:rPr>
          <w:rFonts w:eastAsia="Calibri"/>
        </w:rPr>
        <w:t xml:space="preserve">party under the leadership of Jörg Haider in the 1990s </w:t>
      </w:r>
      <w:r w:rsidRPr="00F121D3">
        <w:rPr>
          <w:rFonts w:eastAsia="Calibri"/>
        </w:rPr>
        <w:fldChar w:fldCharType="begin" w:fldLock="1"/>
      </w:r>
      <w:r w:rsidR="00F121D3">
        <w:rPr>
          <w:rFonts w:eastAsia="Calibri"/>
        </w:rPr>
        <w:instrText>ADDIN CSL_CITATION {"citationItems":[{"id":"ITEM-1","itemData":{"ISBN":"0-230-01349-X","author":[{"dropping-particle":"","family":"Heinisch","given":"Reinhard C.","non-dropping-particle":"","parse-names":false,"suffix":""}],"chapter-number":"5","container-title":"Twenty-first century populism : the spectre of western European democracy","edition":"1. publ.","editor":[{"dropping-particle":"","family":"Albertazzi","given":"Daniele","non-dropping-particle":"","parse-names":false,"suffix":""},{"dropping-particle":"","family":"McDonnell","given":"Duncan","non-dropping-particle":"","parse-names":false,"suffix":""}],"id":"ITEM-1","issued":{"date-parts":[["2008"]]},"language":"eng","note":"ed. by Daniele Albertazzi ...","page":"67–83","publisher":"Palgrave Macmillan","publisher-place":"New York [u.a.]","title":"Austria: the structure and agency of Austrian populism","type":"chapter"},"locator":"68-75","uris":["http://www.mendeley.com/documents/?uuid=92e4ee7c-98bd-4857-ad09-fda72507d110"]}],"mendeley":{"formattedCitation":"(Heinisch, 2008: 68–75)","plainTextFormattedCitation":"(Heinisch, 2008: 68–75)","previouslyFormattedCitation":"(Heinisch, 2008: 68–75)"},"properties":{"noteIndex":0},"schema":"https://github.com/citation-style-language/schema/raw/master/csl-citation.json"}</w:instrText>
      </w:r>
      <w:r w:rsidRPr="00F121D3">
        <w:rPr>
          <w:rFonts w:eastAsia="Calibri"/>
        </w:rPr>
        <w:fldChar w:fldCharType="separate"/>
      </w:r>
      <w:r w:rsidR="00F121D3" w:rsidRPr="00F121D3">
        <w:rPr>
          <w:rFonts w:eastAsia="Calibri"/>
          <w:noProof/>
        </w:rPr>
        <w:t>(Heinisch, 2008: 68–75)</w:t>
      </w:r>
      <w:r w:rsidRPr="00F121D3">
        <w:rPr>
          <w:rFonts w:eastAsia="Calibri"/>
        </w:rPr>
        <w:fldChar w:fldCharType="end"/>
      </w:r>
      <w:r w:rsidRPr="00F121D3">
        <w:rPr>
          <w:rFonts w:eastAsia="Calibri"/>
        </w:rPr>
        <w:t xml:space="preserve">. The rise of the FPÖ is closely related to the issue of immigration </w:t>
      </w:r>
      <w:r w:rsidRPr="00F121D3">
        <w:rPr>
          <w:rFonts w:eastAsia="Calibri"/>
        </w:rPr>
        <w:fldChar w:fldCharType="begin" w:fldLock="1"/>
      </w:r>
      <w:r w:rsidR="00F121D3">
        <w:rPr>
          <w:rFonts w:eastAsia="Calibri"/>
        </w:rPr>
        <w:instrText>ADDIN CSL_CITATION {"citationItems":[{"id":"ITEM-1","itemData":{"ISBN":"0-230-01349-X","author":[{"dropping-particle":"","family":"Heinisch","given":"Reinhard C.","non-dropping-particle":"","parse-names":false,"suffix":""}],"chapter-number":"5","container-title":"Twenty-first century populism : the spectre of western European democracy","edition":"1. publ.","editor":[{"dropping-particle":"","family":"Albertazzi","given":"Daniele","non-dropping-particle":"","parse-names":false,"suffix":""},{"dropping-particle":"","family":"McDonnell","given":"Duncan","non-dropping-particle":"","parse-names":false,"suffix":""}],"id":"ITEM-1","issued":{"date-parts":[["2008"]]},"language":"eng","note":"ed. by Daniele Albertazzi ...","page":"67–83","publisher":"Palgrave Macmillan","publisher-place":"New York [u.a.]","title":"Austria: the structure and agency of Austrian populism","type":"chapter"},"locator":"74","uris":["http://www.mendeley.com/documents/?uuid=92e4ee7c-98bd-4857-ad09-fda72507d110"]},{"id":"ITEM-2","itemData":{"ISSN":"1542-4766","abstract":"Does the presence of immigrants in one’s neighborhood affect voting for far right-wing parties? We study the case of the Freedom Party of Austria (FPÖ) that, under the leadership of Jörg Haider, increased its vote share from less than 5% in the early 1980s to 27% by the end of the 1990s and continued to attract more than 20% of voters in the 2013 national election. We find that the inflow of immigrants into a community has a significant impact on the increase in the community’s voting share for the FPÖ, explaining roughly a tenth of the regional variation in vote changes. Our results suggest that voters worry about adverse labor market effects of immigration, as well as about the quality of their neighborhood. In fact, we find evidence of a negative impact of immigration on “compositional amenities”. In communities with larger immigration influx, Austrian children commute longer distances to school, and fewer daycare resources are provided. We do not find evidence that Austrians move out of communities with increasing immigrant presence. (JEL: P16, J61)","author":[{"dropping-particle":"","family":"Halla","given":"Martin","non-dropping-particle":"","parse-names":false,"suffix":""},{"dropping-particle":"","family":"Wagner","given":"Alexander F","non-dropping-particle":"","parse-names":false,"suffix":""},{"dropping-particle":"","family":"Zweimüller","given":"Josef","non-dropping-particle":"","parse-names":false,"suffix":""}],"container-title":"Journal of the European Economic Association","id":"ITEM-2","issue":"6","issued":{"date-parts":[["2017"]]},"note":"Does the presence of immigrants in one’s neighborhood affect voting for far right-wing parties? We study the case of the Freedom Party of Austria (FPÖ) that, under the leadership of Jörg Haider, increased its vote share from less than 5% in the early 1980s to 27% by the end of the 1990s and continued to attract more than 20% of voters in the 2013 national election. We find that the inflow of immigrants into a community has a significant impact on the increase in the community’s voting share for the FPÖ, explaining roughly a tenth of the regional variation in vote changes. Our results suggest that voters worry about adverse labor market effects of immigration, as well as about the quality of their neighborhood. In fact, we find evidence of a negative impact of immigration on “compositional amenities”. In communities with larger immigration influx, Austrian children commute longer distances to school, and fewer daycare resources are provided. We do not find evidence that Austrians move out of communities with increasing immigrant presence. (JEL: P16, J61)","page":"1341-1385","title":"Immigration and Voting for the Far Right","type":"article-journal","volume":"15"},"locator":"1348","uris":["http://www.mendeley.com/documents/?uuid=a3ce6d32-ac97-412c-b62b-f261ee29334d"]}],"mendeley":{"formattedCitation":"(Halla et al., 2017: 1348; Heinisch, 2008: 74)","plainTextFormattedCitation":"(Halla et al., 2017: 1348; Heinisch, 2008: 74)","previouslyFormattedCitation":"(Halla et al., 2017: 1348; Heinisch, 2008: 74)"},"properties":{"noteIndex":0},"schema":"https://github.com/citation-style-language/schema/raw/master/csl-citation.json"}</w:instrText>
      </w:r>
      <w:r w:rsidRPr="00F121D3">
        <w:rPr>
          <w:rFonts w:eastAsia="Calibri"/>
        </w:rPr>
        <w:fldChar w:fldCharType="separate"/>
      </w:r>
      <w:r w:rsidR="00F121D3" w:rsidRPr="00F121D3">
        <w:rPr>
          <w:rFonts w:eastAsia="Calibri"/>
          <w:noProof/>
        </w:rPr>
        <w:t>(Halla et al., 2017: 1348; Heinisch, 2008: 74)</w:t>
      </w:r>
      <w:r w:rsidRPr="00F121D3">
        <w:rPr>
          <w:rFonts w:eastAsia="Calibri"/>
        </w:rPr>
        <w:fldChar w:fldCharType="end"/>
      </w:r>
      <w:r w:rsidRPr="00F121D3">
        <w:rPr>
          <w:rFonts w:eastAsia="Calibri"/>
        </w:rPr>
        <w:t xml:space="preserve">. The party stands for ethnic nationalism and exclusionary attitudes towards immigrants </w:t>
      </w:r>
      <w:r w:rsidRPr="00F121D3">
        <w:rPr>
          <w:rFonts w:eastAsia="Calibri"/>
        </w:rPr>
        <w:fldChar w:fldCharType="begin" w:fldLock="1"/>
      </w:r>
      <w:r w:rsidR="00F121D3">
        <w:rPr>
          <w:rFonts w:eastAsia="Calibri"/>
        </w:rPr>
        <w:instrText>ADDIN CSL_CITATION {"citationItems":[{"id":"ITEM-1","itemData":{"ISSN":"1569-2159","abstract":"In this paper I discuss, critically, the literature on populism and the extent to which it applies to the contemporary radical right-wing parties in Europe. These parties are often – and increasingly – referred to as populist parties. I argue that it is misleading to label these parties ‘populist parties’, since populism is not the most pertinent feature of this party family. These parties are mainly defined by ethnic nationalism, and not a populist ideology. In their discourse they are primarily preoccupied with questions pertaining to national identity and national security – and their ‘negative’ doubles immigration, multiculturalism, Islamist threat – and they consistently pit ‘the people’ mainly against elites that they view as responsible for a cultural and political threat against their idealized image of their nation state. The ethnic nationalism of European radical right-wing parties is more important for their discourse and tends to influence the populist elements","author":[{"dropping-particle":"","family":"Rydgren","given":"Jens","non-dropping-particle":"","parse-names":false,"suffix":""}],"container-title":"Journal Of Language And Politics","id":"ITEM-1","issue":"4","issued":{"date-parts":[["2017"]]},"language":"English","note":"In this paper I discuss, critically, the literature on populism and the extent to which it applies to the contemporary radical right-wing parties in Europe. These parties are often - and increasingly - referred to as populist parties. I argue that it is misleading to label these parties 'populist parties', since populism is not the most pertinent feature of this party family. These parties are mainly defined by ethnic nationalism, and not a populist ideology. In their discourse they are primarily preoccupied with questions pertaining to national identity and national security - and their 'negative' doubles immigration, multiculturalism, Islamist threat - and they consistently pit 'the people' mainly against elites that they view as responsible for a cultural and political threat against their idealized image of their nation state. The ethnic nationalism of European radical right-wing parties is more important for their discourse and tends to influence the populist elements.","page":"485-496","title":"Radical right-wing parties in Europe: What's populism got to do with it?","type":"article-journal","volume":"16"},"locator":"485","uris":["http://www.mendeley.com/documents/?uuid=79c0b9dd-f905-4e41-bad0-83f3e5cda5a9"]}],"mendeley":{"formattedCitation":"(Rydgren, 2017: 485)","plainTextFormattedCitation":"(Rydgren, 2017: 485)","previouslyFormattedCitation":"(Rydgren, 2017: 485)"},"properties":{"noteIndex":0},"schema":"https://github.com/citation-style-language/schema/raw/master/csl-citation.json"}</w:instrText>
      </w:r>
      <w:r w:rsidRPr="00F121D3">
        <w:rPr>
          <w:rFonts w:eastAsia="Calibri"/>
        </w:rPr>
        <w:fldChar w:fldCharType="separate"/>
      </w:r>
      <w:r w:rsidR="00F121D3" w:rsidRPr="00F121D3">
        <w:rPr>
          <w:rFonts w:eastAsia="Calibri"/>
          <w:noProof/>
        </w:rPr>
        <w:t>(Rydgren, 2017: 485)</w:t>
      </w:r>
      <w:r w:rsidRPr="00F121D3">
        <w:rPr>
          <w:rFonts w:eastAsia="Calibri"/>
        </w:rPr>
        <w:fldChar w:fldCharType="end"/>
      </w:r>
      <w:r w:rsidRPr="00F121D3">
        <w:rPr>
          <w:rFonts w:eastAsia="Calibri"/>
        </w:rPr>
        <w:t xml:space="preserve"> a</w:t>
      </w:r>
      <w:r w:rsidR="00D72B37">
        <w:rPr>
          <w:rFonts w:eastAsia="Calibri"/>
        </w:rPr>
        <w:t>nd</w:t>
      </w:r>
      <w:r w:rsidRPr="00F121D3">
        <w:rPr>
          <w:rFonts w:eastAsia="Calibri"/>
        </w:rPr>
        <w:t xml:space="preserve"> xenophobia and anti-feminism </w:t>
      </w:r>
      <w:r w:rsidRPr="00F121D3">
        <w:rPr>
          <w:rFonts w:eastAsia="Calibri"/>
        </w:rPr>
        <w:fldChar w:fldCharType="begin" w:fldLock="1"/>
      </w:r>
      <w:r w:rsidR="00F121D3">
        <w:rPr>
          <w:rFonts w:eastAsia="Calibri"/>
        </w:rPr>
        <w:instrText>ADDIN CSL_CITATION {"citationItems":[{"id":"ITEM-1","itemData":{"DOI":"10.5771/9783845281032-137","ISBN":"9783845281032","author":[{"dropping-particle":"","family":"Stögner","given":"Karin","non-dropping-particle":"","parse-names":false,"suffix":""}],"container-title":"AfD &amp; FPÖ. Antisemitismus, völkischer Nationalismus und Geschlechterbilder","editor":[{"dropping-particle":"","family":"Grigat","given":"Stephan","non-dropping-particle":"","parse-names":false,"suffix":""}],"id":"ITEM-1","issued":{"date-parts":[["2017"]]},"page":"137-162","publisher":"Nomos","publisher-place":"Baden-Baden","title":"Angst vor dem „neuen Menschen“. Zur Verschränkung von Antisemitismus, Antifeminismus und Nationalismus in der FPÖ","type":"chapter"},"locator":"137","uris":["http://www.mendeley.com/documents/?uuid=8e7a095f-fbaa-40df-8d0d-f68aa619b46a"]}],"mendeley":{"formattedCitation":"(Stögner, 2017: 137)","plainTextFormattedCitation":"(Stögner, 2017: 137)","previouslyFormattedCitation":"(Stögner, 2017: 137)"},"properties":{"noteIndex":0},"schema":"https://github.com/citation-style-language/schema/raw/master/csl-citation.json"}</w:instrText>
      </w:r>
      <w:r w:rsidRPr="00F121D3">
        <w:rPr>
          <w:rFonts w:eastAsia="Calibri"/>
        </w:rPr>
        <w:fldChar w:fldCharType="separate"/>
      </w:r>
      <w:r w:rsidR="00F121D3" w:rsidRPr="00F121D3">
        <w:rPr>
          <w:rFonts w:eastAsia="Calibri"/>
          <w:noProof/>
        </w:rPr>
        <w:t>(Stögner, 2017: 137)</w:t>
      </w:r>
      <w:r w:rsidRPr="00F121D3">
        <w:rPr>
          <w:rFonts w:eastAsia="Calibri"/>
        </w:rPr>
        <w:fldChar w:fldCharType="end"/>
      </w:r>
      <w:r w:rsidRPr="00F121D3">
        <w:rPr>
          <w:rFonts w:eastAsia="Calibri"/>
        </w:rPr>
        <w:t xml:space="preserve">. In the European context, FPÖ started in 2010 together with Front National to mobilize populist </w:t>
      </w:r>
      <w:r w:rsidR="001941B1">
        <w:rPr>
          <w:rFonts w:eastAsia="Calibri"/>
        </w:rPr>
        <w:t xml:space="preserve">radical right </w:t>
      </w:r>
      <w:r w:rsidRPr="00F121D3">
        <w:rPr>
          <w:rFonts w:eastAsia="Calibri"/>
        </w:rPr>
        <w:t xml:space="preserve">parties to achieve a new parliamentary group in the European Parliament </w:t>
      </w:r>
      <w:r w:rsidRPr="00F121D3">
        <w:rPr>
          <w:rFonts w:eastAsia="Calibri"/>
        </w:rPr>
        <w:fldChar w:fldCharType="begin" w:fldLock="1"/>
      </w:r>
      <w:r w:rsidR="00F121D3">
        <w:rPr>
          <w:rFonts w:eastAsia="Calibri"/>
        </w:rPr>
        <w:instrText>ADDIN CSL_CITATION {"citationItems":[{"id":"ITEM-1","itemData":{"DOI":"10.5771/9783845281032","ISBN":"978-3-8452-8103-2","author":[{"dropping-particle":"","family":"Schiedel","given":"Heribert","non-dropping-particle":"","parse-names":false,"suffix":""}],"container-title":"AfD &amp; FPÖ. Antisemitismus, völkischer Nationalismus und Geschlechterbilder: Antisemitismus, völkischer Nationalismus und Geschlechterbilder","editor":[{"dropping-particle":"","family":"Grigat","given":"Stephan","non-dropping-particle":"","parse-names":false,"suffix":""}],"id":"ITEM-1","issued":{"date-parts":[["2017"]]},"language":"ger","note":"Stephan Grigat (Hrsg.).\n\n\n\nOnline Zugriff nur im Campusnetz der Freien Universität","page":"103-120","publisher":"Nomos","publisher-place":"Baden-Baden","title":"Antisemitismus und völkische Ideologie. Ist die FPÖ eine rechtsextreme Partei?","type":"chapter"},"uris":["http://www.mendeley.com/documents/?uuid=1649a17f-d1ae-4dfc-824f-c8652fc10149"]}],"mendeley":{"formattedCitation":"(Schiedel, 2017)","plainTextFormattedCitation":"(Schiedel, 2017)","previouslyFormattedCitation":"(Schiedel, 2017)"},"properties":{"noteIndex":0},"schema":"https://github.com/citation-style-language/schema/raw/master/csl-citation.json"}</w:instrText>
      </w:r>
      <w:r w:rsidRPr="00F121D3">
        <w:rPr>
          <w:rFonts w:eastAsia="Calibri"/>
        </w:rPr>
        <w:fldChar w:fldCharType="separate"/>
      </w:r>
      <w:r w:rsidR="00F121D3" w:rsidRPr="00F121D3">
        <w:rPr>
          <w:rFonts w:eastAsia="Calibri"/>
          <w:noProof/>
        </w:rPr>
        <w:t>(Schiedel, 2017)</w:t>
      </w:r>
      <w:r w:rsidRPr="00F121D3">
        <w:rPr>
          <w:rFonts w:eastAsia="Calibri"/>
        </w:rPr>
        <w:fldChar w:fldCharType="end"/>
      </w:r>
      <w:r w:rsidRPr="00F121D3">
        <w:rPr>
          <w:rFonts w:eastAsia="Calibri"/>
        </w:rPr>
        <w:t>. Together with the Italian Lega and the Dutch Party of Freedom</w:t>
      </w:r>
      <w:r w:rsidR="00D72B37">
        <w:rPr>
          <w:rFonts w:eastAsia="Calibri"/>
        </w:rPr>
        <w:t>,</w:t>
      </w:r>
      <w:r w:rsidRPr="00F121D3">
        <w:rPr>
          <w:rFonts w:eastAsia="Calibri"/>
        </w:rPr>
        <w:t xml:space="preserve"> they founded the Europe of Nations and Freedom (ENF) fraction in the EP in 2015. After the 2019 election, in which the party reached 17 percent of the votes, the FPÖ joined the Identity and Democracy (ID) group. </w:t>
      </w:r>
    </w:p>
    <w:p w14:paraId="79A52035" w14:textId="77777777" w:rsidR="009477C9" w:rsidRPr="00F121D3" w:rsidRDefault="009477C9" w:rsidP="00F121D3">
      <w:pPr>
        <w:jc w:val="both"/>
      </w:pPr>
    </w:p>
    <w:p w14:paraId="5C95E8E4" w14:textId="4D85A882" w:rsidR="009477C9" w:rsidRPr="00F121D3" w:rsidRDefault="009477C9" w:rsidP="00F121D3">
      <w:pPr>
        <w:jc w:val="both"/>
        <w:rPr>
          <w:rFonts w:eastAsia="Calibri"/>
          <w:noProof/>
        </w:rPr>
      </w:pPr>
      <w:r w:rsidRPr="00F121D3">
        <w:rPr>
          <w:rFonts w:eastAsia="Calibri"/>
          <w:i/>
        </w:rPr>
        <w:t>French National Rally</w:t>
      </w:r>
      <w:r w:rsidRPr="00F121D3">
        <w:rPr>
          <w:rFonts w:eastAsia="Calibri"/>
        </w:rPr>
        <w:t xml:space="preserve"> (</w:t>
      </w:r>
      <w:proofErr w:type="spellStart"/>
      <w:r w:rsidRPr="00F121D3">
        <w:rPr>
          <w:rFonts w:eastAsia="Calibri"/>
        </w:rPr>
        <w:t>Rassemblement</w:t>
      </w:r>
      <w:proofErr w:type="spellEnd"/>
      <w:r w:rsidRPr="00F121D3">
        <w:rPr>
          <w:rFonts w:eastAsia="Calibri"/>
        </w:rPr>
        <w:t xml:space="preserve"> National, RN) also has a long tradition since 1972</w:t>
      </w:r>
      <w:r w:rsidR="00D72B37">
        <w:rPr>
          <w:rFonts w:eastAsia="Calibri"/>
        </w:rPr>
        <w:t>. T</w:t>
      </w:r>
      <w:r w:rsidRPr="00F121D3">
        <w:rPr>
          <w:rFonts w:eastAsia="Calibri"/>
        </w:rPr>
        <w:t xml:space="preserve">he party established itself throughout the 1980s as Front National (FN) as a relevant political force in France </w:t>
      </w:r>
      <w:r w:rsidRPr="00F121D3">
        <w:rPr>
          <w:rFonts w:eastAsia="Calibri"/>
        </w:rPr>
        <w:fldChar w:fldCharType="begin" w:fldLock="1"/>
      </w:r>
      <w:r w:rsidR="00F121D3">
        <w:rPr>
          <w:rFonts w:eastAsia="Calibri"/>
        </w:rPr>
        <w:instrText>ADDIN CSL_CITATION {"citationItems":[{"id":"ITEM-1","itemData":{"DOI":"10.1007/978-3-319-96758-5","ISBN":"3-319-96758-4","abstract":"This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globe.","author":[{"dropping-particle":"","family":"Ivaldi","given":"Gilles","non-dropping-particle":"","parse-names":false,"suffix":""}],"container-title":"Populism Around the World A Comparative Perspective","editor":[{"dropping-particle":"","family":"Stockemer","given":"Daniel","non-dropping-particle":"","parse-names":false,"suffix":""}],"id":"ITEM-1","issued":{"date-parts":[["2019"]]},"language":"eng","note":"Introduction (D. Stockemer) -- Populism in Argentina (W. Muno) -- Parties and Voters in the Populist Market in France (G. Ivaldi) -- Liberal Anxieties, Ambivalent Citizens: Insurgent Nationalism and Promise of Redemption in Rodrigo Duterteâs Philippines (A. Webb, N. Curato) -- Populism in Contemporary Poland (B. Stanley, M. CzeÅnik) -- Populism in Turkey (S. Erdem AytaÃ§, E. ElÃ§i) -- Populism in the United States of America (M. Green. J. K. White) -- Conclusion (D. Stockemer).\n\nThis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globe.\n\nedited by Daniel Stockemer.\n\n\n\nOnline Zugriff nur im Campusnetz der Freien UniversitÃ¤t und der CharitÃ©","page":"27-47","publisher":"Springer International Publishing","publisher-place":"Cham","title":"Populism in France","type":"chapter"},"locator":"29","uris":["http://www.mendeley.com/documents/?uuid=b700b983-3615-47e2-a4b2-3712e73c21b2"]}],"mendeley":{"formattedCitation":"(Ivaldi, 2019: 29)","plainTextFormattedCitation":"(Ivaldi, 2019: 29)","previouslyFormattedCitation":"(Ivaldi, 2019: 29)"},"properties":{"noteIndex":0},"schema":"https://github.com/citation-style-language/schema/raw/master/csl-citation.json"}</w:instrText>
      </w:r>
      <w:r w:rsidRPr="00F121D3">
        <w:rPr>
          <w:rFonts w:eastAsia="Calibri"/>
        </w:rPr>
        <w:fldChar w:fldCharType="separate"/>
      </w:r>
      <w:r w:rsidR="00F121D3" w:rsidRPr="00F121D3">
        <w:rPr>
          <w:rFonts w:eastAsia="Calibri"/>
          <w:noProof/>
        </w:rPr>
        <w:t>(Ivaldi, 2019: 29)</w:t>
      </w:r>
      <w:r w:rsidRPr="00F121D3">
        <w:rPr>
          <w:rFonts w:eastAsia="Calibri"/>
        </w:rPr>
        <w:fldChar w:fldCharType="end"/>
      </w:r>
      <w:r w:rsidRPr="00F121D3">
        <w:rPr>
          <w:rFonts w:eastAsia="Calibri"/>
        </w:rPr>
        <w:t xml:space="preserve">. Already then, its main issue to mobilize voters was immigration </w:t>
      </w:r>
      <w:r w:rsidRPr="00F121D3">
        <w:rPr>
          <w:rFonts w:eastAsia="Calibri"/>
        </w:rPr>
        <w:fldChar w:fldCharType="begin" w:fldLock="1"/>
      </w:r>
      <w:r w:rsidR="00F121D3">
        <w:rPr>
          <w:rFonts w:eastAsia="Calibri"/>
        </w:rPr>
        <w:instrText>ADDIN CSL_CITATION {"citationItems":[{"id":"ITEM-1","itemData":{"DOI":"10.1007/978-3-319-49640-5_2","ISBN":"9783319496399","author":[{"dropping-particle":"","family":"Stockemer","given":"Daniel","non-dropping-particle":"","parse-names":false,"suffix":""}],"id":"ITEM-1","issued":{"date-parts":[["2017"]]},"number-of-pages":"113","publisher":"Springer International Publishing","title":"The Front National in France. Continuity and Change Under Jean-Marie Le Pen and Marine Le Pen","type":"book"},"locator":"15-16","uris":["http://www.mendeley.com/documents/?uuid=4ee81f39-ea40-498b-b557-b52eed935b70"]}],"mendeley":{"formattedCitation":"(Stockemer, 2017: 15–16)","plainTextFormattedCitation":"(Stockemer, 2017: 15–16)","previouslyFormattedCitation":"(Stockemer, 2017: 15–16)"},"properties":{"noteIndex":0},"schema":"https://github.com/citation-style-language/schema/raw/master/csl-citation.json"}</w:instrText>
      </w:r>
      <w:r w:rsidRPr="00F121D3">
        <w:rPr>
          <w:rFonts w:eastAsia="Calibri"/>
        </w:rPr>
        <w:fldChar w:fldCharType="separate"/>
      </w:r>
      <w:r w:rsidR="00F121D3" w:rsidRPr="00F121D3">
        <w:rPr>
          <w:rFonts w:eastAsia="Calibri"/>
          <w:noProof/>
        </w:rPr>
        <w:t>(Stockemer, 2017: 15–16)</w:t>
      </w:r>
      <w:r w:rsidRPr="00F121D3">
        <w:rPr>
          <w:rFonts w:eastAsia="Calibri"/>
        </w:rPr>
        <w:fldChar w:fldCharType="end"/>
      </w:r>
      <w:r w:rsidRPr="00F121D3">
        <w:rPr>
          <w:rFonts w:eastAsia="Calibri"/>
        </w:rPr>
        <w:t xml:space="preserve">. Although Marie Le Pen, who took over as party leader in 2011, attempts to give the party a moderate image, its reputation as an extreme right party still prevents coalitions at the national level </w:t>
      </w:r>
      <w:r w:rsidRPr="00F121D3">
        <w:rPr>
          <w:rFonts w:eastAsia="Calibri"/>
        </w:rPr>
        <w:fldChar w:fldCharType="begin" w:fldLock="1"/>
      </w:r>
      <w:r w:rsidR="00F121D3">
        <w:rPr>
          <w:rFonts w:eastAsia="Calibri"/>
        </w:rPr>
        <w:instrText>ADDIN CSL_CITATION {"citationItems":[{"id":"ITEM-1","itemData":{"DOI":"10.1007/978-3-319-96758-5","ISBN":"3-319-96758-4","abstract":"This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globe.","author":[{"dropping-particle":"","family":"Ivaldi","given":"Gilles","non-dropping-particle":"","parse-names":false,"suffix":""}],"container-title":"Populism Around the World A Comparative Perspective","editor":[{"dropping-particle":"","family":"Stockemer","given":"Daniel","non-dropping-particle":"","parse-names":false,"suffix":""}],"id":"ITEM-1","issued":{"date-parts":[["2019"]]},"language":"eng","note":"Introduction (D. Stockemer) -- Populism in Argentina (W. Muno) -- Parties and Voters in the Populist Market in France (G. Ivaldi) -- Liberal Anxieties, Ambivalent Citizens: Insurgent Nationalism and Promise of Redemption in Rodrigo Duterteâs Philippines (A. Webb, N. Curato) -- Populism in Contemporary Poland (B. Stanley, M. CzeÅnik) -- Populism in Turkey (S. Erdem AytaÃ§, E. ElÃ§i) -- Populism in the United States of America (M. Green. J. K. White) -- Conclusion (D. Stockemer).\n\nThis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globe.\n\nedited by Daniel Stockemer.\n\n\n\nOnline Zugriff nur im Campusnetz der Freien UniversitÃ¤t und der CharitÃ©","page":"27-47","publisher":"Springer International Publishing","publisher-place":"Cham","title":"Populism in France","type":"chapter"},"locator":"35","uris":["http://www.mendeley.com/documents/?uuid=b700b983-3615-47e2-a4b2-3712e73c21b2"]}],"mendeley":{"formattedCitation":"(Ivaldi, 2019: 35)","plainTextFormattedCitation":"(Ivaldi, 2019: 35)","previouslyFormattedCitation":"(Ivaldi, 2019: 35)"},"properties":{"noteIndex":0},"schema":"https://github.com/citation-style-language/schema/raw/master/csl-citation.json"}</w:instrText>
      </w:r>
      <w:r w:rsidRPr="00F121D3">
        <w:rPr>
          <w:rFonts w:eastAsia="Calibri"/>
        </w:rPr>
        <w:fldChar w:fldCharType="separate"/>
      </w:r>
      <w:r w:rsidR="00F121D3" w:rsidRPr="00F121D3">
        <w:rPr>
          <w:rFonts w:eastAsia="Calibri"/>
          <w:noProof/>
        </w:rPr>
        <w:t>(Ivaldi, 2019: 35)</w:t>
      </w:r>
      <w:r w:rsidRPr="00F121D3">
        <w:rPr>
          <w:rFonts w:eastAsia="Calibri"/>
        </w:rPr>
        <w:fldChar w:fldCharType="end"/>
      </w:r>
      <w:r w:rsidRPr="00F121D3">
        <w:rPr>
          <w:rFonts w:eastAsia="Calibri"/>
        </w:rPr>
        <w:t xml:space="preserve">. Many scholars see FN as a “prototype” of a populist radical right party </w:t>
      </w:r>
      <w:r w:rsidRPr="00F121D3">
        <w:rPr>
          <w:rFonts w:eastAsia="Calibri"/>
        </w:rPr>
        <w:fldChar w:fldCharType="begin" w:fldLock="1"/>
      </w:r>
      <w:r w:rsidR="00F121D3">
        <w:rPr>
          <w:rFonts w:eastAsia="Calibri"/>
        </w:rPr>
        <w:instrText>ADDIN CSL_CITATION {"citationItems":[{"id":"ITEM-1","itemData":{"DOI":"10.1017/CBO9780511492037","ISBN":"9780511492037","abstract":"This is the first comprehensive and truly pan-European study of populist radical right parties in Europe. It offers a state of the art overview of the field, integrating studies of populist parties in both Eastern and Western Europe. Mudde introduces a new concept of 'populist radical right'","author":[{"dropping-particle":"","family":"Mudde","given":"Cas","non-dropping-particle":"","parse-names":false,"suffix":""}],"id":"ITEM-1","issued":{"date-parts":[["2007"]]},"number-of-pages":"1-385","publisher":"Cambridge University Press","publisher-place":"Cambridge","title":"Populist radical right parties in Europe","type":"book"},"locator":"41","uris":["http://www.mendeley.com/documents/?uuid=8b67e737-d94b-4b5d-9664-47a1a5713bce"]}],"mendeley":{"formattedCitation":"(Mudde, 2007: 41)","plainTextFormattedCitation":"(Mudde, 2007: 41)","previouslyFormattedCitation":"(Mudde, 2007: 41)"},"properties":{"noteIndex":0},"schema":"https://github.com/citation-style-language/schema/raw/master/csl-citation.json"}</w:instrText>
      </w:r>
      <w:r w:rsidRPr="00F121D3">
        <w:rPr>
          <w:rFonts w:eastAsia="Calibri"/>
        </w:rPr>
        <w:fldChar w:fldCharType="separate"/>
      </w:r>
      <w:r w:rsidR="00F121D3" w:rsidRPr="00F121D3">
        <w:rPr>
          <w:rFonts w:eastAsia="Calibri"/>
          <w:noProof/>
        </w:rPr>
        <w:t>(Mudde, 2007: 41)</w:t>
      </w:r>
      <w:r w:rsidRPr="00F121D3">
        <w:rPr>
          <w:rFonts w:eastAsia="Calibri"/>
        </w:rPr>
        <w:fldChar w:fldCharType="end"/>
      </w:r>
      <w:r w:rsidRPr="00F121D3">
        <w:rPr>
          <w:rFonts w:eastAsia="Calibri"/>
        </w:rPr>
        <w:t xml:space="preserve">. Its agenda is dominated by nativism and authoritarianism </w:t>
      </w:r>
      <w:r w:rsidRPr="00F121D3">
        <w:rPr>
          <w:rFonts w:eastAsia="Calibri"/>
        </w:rPr>
        <w:fldChar w:fldCharType="begin" w:fldLock="1"/>
      </w:r>
      <w:r w:rsidR="00F121D3">
        <w:rPr>
          <w:rFonts w:eastAsia="Calibri"/>
        </w:rPr>
        <w:instrText>ADDIN CSL_CITATION {"citationItems":[{"id":"ITEM-1","itemData":{"DOI":"10.1007/978-3-319-96758-5","ISBN":"3-319-96758-4","abstract":"This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globe.","author":[{"dropping-particle":"","family":"Ivaldi","given":"Gilles","non-dropping-particle":"","parse-names":false,"suffix":""}],"container-title":"Populism Around the World A Comparative Perspective","editor":[{"dropping-particle":"","family":"Stockemer","given":"Daniel","non-dropping-particle":"","parse-names":false,"suffix":""}],"id":"ITEM-1","issued":{"date-parts":[["2019"]]},"language":"eng","note":"Introduction (D. Stockemer) -- Populism in Argentina (W. Muno) -- Parties and Voters in the Populist Market in France (G. Ivaldi) -- Liberal Anxieties, Ambivalent Citizens: Insurgent Nationalism and Promise of Redemption in Rodrigo Duterteâs Philippines (A. Webb, N. Curato) -- Populism in Contemporary Poland (B. Stanley, M. CzeÅnik) -- Populism in Turkey (S. Erdem AytaÃ§, E. ElÃ§i) -- Populism in the United States of America (M. Green. J. K. White) -- Conclusion (D. Stockemer).\n\nThis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globe.\n\nedited by Daniel Stockemer.\n\n\n\nOnline Zugriff nur im Campusnetz der Freien UniversitÃ¤t und der CharitÃ©","page":"27-47","publisher":"Springer International Publishing","publisher-place":"Cham","title":"Populism in France","type":"chapter"},"locator":"31","uris":["http://www.mendeley.com/documents/?uuid=b700b983-3615-47e2-a4b2-3712e73c21b2"]}],"mendeley":{"formattedCitation":"(Ivaldi, 2019: 31)","plainTextFormattedCitation":"(Ivaldi, 2019: 31)","previouslyFormattedCitation":"(Ivaldi, 2019: 31)"},"properties":{"noteIndex":0},"schema":"https://github.com/citation-style-language/schema/raw/master/csl-citation.json"}</w:instrText>
      </w:r>
      <w:r w:rsidRPr="00F121D3">
        <w:rPr>
          <w:rFonts w:eastAsia="Calibri"/>
        </w:rPr>
        <w:fldChar w:fldCharType="separate"/>
      </w:r>
      <w:r w:rsidR="00F121D3" w:rsidRPr="00F121D3">
        <w:rPr>
          <w:rFonts w:eastAsia="Calibri"/>
          <w:noProof/>
        </w:rPr>
        <w:t>(Ivaldi, 2019: 31)</w:t>
      </w:r>
      <w:r w:rsidRPr="00F121D3">
        <w:rPr>
          <w:rFonts w:eastAsia="Calibri"/>
        </w:rPr>
        <w:fldChar w:fldCharType="end"/>
      </w:r>
      <w:r w:rsidRPr="00F121D3">
        <w:rPr>
          <w:rFonts w:eastAsia="Calibri"/>
        </w:rPr>
        <w:t xml:space="preserve">, strong opposition to economic globalization and neoliberal capitalism </w:t>
      </w:r>
      <w:r w:rsidRPr="00F121D3">
        <w:rPr>
          <w:rFonts w:eastAsia="Calibri"/>
        </w:rPr>
        <w:fldChar w:fldCharType="begin" w:fldLock="1"/>
      </w:r>
      <w:r w:rsidR="00F121D3">
        <w:rPr>
          <w:rFonts w:eastAsia="Calibri"/>
        </w:rPr>
        <w:instrText>ADDIN CSL_CITATION {"citationItems":[{"id":"ITEM-1","itemData":{"DOI":"10.1007/978-3-319-96758-5","ISBN":"3-319-96758-4","abstract":"This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globe.","author":[{"dropping-particle":"","family":"Ivaldi","given":"Gilles","non-dropping-particle":"","parse-names":false,"suffix":""}],"container-title":"Populism Around the World A Comparative Perspective","editor":[{"dropping-particle":"","family":"Stockemer","given":"Daniel","non-dropping-particle":"","parse-names":false,"suffix":""}],"id":"ITEM-1","issued":{"date-parts":[["2019"]]},"language":"eng","note":"Introduction (D. Stockemer) -- Populism in Argentina (W. Muno) -- Parties and Voters in the Populist Market in France (G. Ivaldi) -- Liberal Anxieties, Ambivalent Citizens: Insurgent Nationalism and Promise of Redemption in Rodrigo Duterteâs Philippines (A. Webb, N. Curato) -- Populism in Contemporary Poland (B. Stanley, M. CzeÅnik) -- Populism in Turkey (S. Erdem AytaÃ§, E. ElÃ§i) -- Populism in the United States of America (M. Green. J. K. White) -- Conclusion (D. Stockemer).\n\nThis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globe.\n\nedited by Daniel Stockemer.\n\n\n\nOnline Zugriff nur im Campusnetz der Freien UniversitÃ¤t und der CharitÃ©","page":"27-47","publisher":"Springer International Publishing","publisher-place":"Cham","title":"Populism in France","type":"chapter"},"locator":"32","prefix":"ibid.","suppress-author":1,"uris":["http://www.mendeley.com/documents/?uuid=b700b983-3615-47e2-a4b2-3712e73c21b2"]}],"mendeley":{"formattedCitation":"(ibid. 2019: 32)","manualFormatting":"(ibid., p. 32)","plainTextFormattedCitation":"(ibid. 2019: 32)","previouslyFormattedCitation":"(ibid. 2019: 32)"},"properties":{"noteIndex":0},"schema":"https://github.com/citation-style-language/schema/raw/master/csl-citation.json"}</w:instrText>
      </w:r>
      <w:r w:rsidRPr="00F121D3">
        <w:rPr>
          <w:rFonts w:eastAsia="Calibri"/>
        </w:rPr>
        <w:fldChar w:fldCharType="separate"/>
      </w:r>
      <w:r w:rsidRPr="00F121D3">
        <w:rPr>
          <w:rFonts w:eastAsia="Calibri"/>
          <w:noProof/>
        </w:rPr>
        <w:t>(ibid., p. 32)</w:t>
      </w:r>
      <w:r w:rsidRPr="00F121D3">
        <w:rPr>
          <w:rFonts w:eastAsia="Calibri"/>
        </w:rPr>
        <w:fldChar w:fldCharType="end"/>
      </w:r>
      <w:r w:rsidR="00D72B37">
        <w:rPr>
          <w:rFonts w:eastAsia="Calibri"/>
        </w:rPr>
        <w:t>,</w:t>
      </w:r>
      <w:r w:rsidRPr="00F121D3">
        <w:rPr>
          <w:rFonts w:eastAsia="Calibri"/>
        </w:rPr>
        <w:t xml:space="preserve"> and anti-immigration </w:t>
      </w:r>
      <w:r w:rsidRPr="00F121D3">
        <w:rPr>
          <w:rFonts w:eastAsia="Calibri"/>
        </w:rPr>
        <w:fldChar w:fldCharType="begin" w:fldLock="1"/>
      </w:r>
      <w:r w:rsidR="00F121D3">
        <w:rPr>
          <w:rFonts w:eastAsia="Calibri"/>
        </w:rPr>
        <w:instrText>ADDIN CSL_CITATION {"citationItems":[{"id":"ITEM-1","itemData":{"DOI":"10.1007/978-3-319-49640-5_2","ISBN":"9783319496399","author":[{"dropping-particle":"","family":"Stockemer","given":"Daniel","non-dropping-particle":"","parse-names":false,"suffix":""}],"id":"ITEM-1","issued":{"date-parts":[["2017"]]},"number-of-pages":"113","publisher":"Springer International Publishing","title":"The Front National in France. Continuity and Change Under Jean-Marie Le Pen and Marine Le Pen","type":"book"},"locator":"39","uris":["http://www.mendeley.com/documents/?uuid=4ee81f39-ea40-498b-b557-b52eed935b70"]}],"mendeley":{"formattedCitation":"(Stockemer, 2017: 39)","plainTextFormattedCitation":"(Stockemer, 2017: 39)","previouslyFormattedCitation":"(Stockemer, 2017: 39)"},"properties":{"noteIndex":0},"schema":"https://github.com/citation-style-language/schema/raw/master/csl-citation.json"}</w:instrText>
      </w:r>
      <w:r w:rsidRPr="00F121D3">
        <w:rPr>
          <w:rFonts w:eastAsia="Calibri"/>
        </w:rPr>
        <w:fldChar w:fldCharType="separate"/>
      </w:r>
      <w:r w:rsidR="00F121D3" w:rsidRPr="00F121D3">
        <w:rPr>
          <w:rFonts w:eastAsia="Calibri"/>
          <w:noProof/>
        </w:rPr>
        <w:t>(Stockemer, 2017: 39)</w:t>
      </w:r>
      <w:r w:rsidRPr="00F121D3">
        <w:rPr>
          <w:rFonts w:eastAsia="Calibri"/>
        </w:rPr>
        <w:fldChar w:fldCharType="end"/>
      </w:r>
      <w:r w:rsidRPr="00F121D3">
        <w:rPr>
          <w:rFonts w:eastAsia="Calibri"/>
        </w:rPr>
        <w:t xml:space="preserve">. The party “brands itself as an anti-party. It opposes the political, social, and economic system and all actors that represent France’s Fifth Republic […]” </w:t>
      </w:r>
      <w:r w:rsidRPr="00F121D3">
        <w:rPr>
          <w:rFonts w:eastAsia="Calibri"/>
        </w:rPr>
        <w:fldChar w:fldCharType="begin" w:fldLock="1"/>
      </w:r>
      <w:r w:rsidR="00F121D3">
        <w:rPr>
          <w:rFonts w:eastAsia="Calibri"/>
        </w:rPr>
        <w:instrText>ADDIN CSL_CITATION {"citationItems":[{"id":"ITEM-1","itemData":{"DOI":"10.1007/978-3-319-49640-5_2","ISBN":"9783319496399","author":[{"dropping-particle":"","family":"Stockemer","given":"Daniel","non-dropping-particle":"","parse-names":false,"suffix":""}],"id":"ITEM-1","issued":{"date-parts":[["2017"]]},"number-of-pages":"113","publisher":"Springer International Publishing","title":"The Front National in France. Continuity and Change Under Jean-Marie Le Pen and Marine Le Pen","type":"book"},"locator":"39","uris":["http://www.mendeley.com/documents/?uuid=4ee81f39-ea40-498b-b557-b52eed935b70"]}],"mendeley":{"formattedCitation":"(Stockemer, 2017: 39)","plainTextFormattedCitation":"(Stockemer, 2017: 39)","previouslyFormattedCitation":"(Stockemer, 2017: 39)"},"properties":{"noteIndex":0},"schema":"https://github.com/citation-style-language/schema/raw/master/csl-citation.json"}</w:instrText>
      </w:r>
      <w:r w:rsidRPr="00F121D3">
        <w:rPr>
          <w:rFonts w:eastAsia="Calibri"/>
        </w:rPr>
        <w:fldChar w:fldCharType="separate"/>
      </w:r>
      <w:r w:rsidR="00F121D3" w:rsidRPr="00F121D3">
        <w:rPr>
          <w:rFonts w:eastAsia="Calibri"/>
          <w:noProof/>
        </w:rPr>
        <w:t>(Stockemer, 2017: 39)</w:t>
      </w:r>
      <w:r w:rsidRPr="00F121D3">
        <w:rPr>
          <w:rFonts w:eastAsia="Calibri"/>
        </w:rPr>
        <w:fldChar w:fldCharType="end"/>
      </w:r>
      <w:r w:rsidRPr="00F121D3">
        <w:rPr>
          <w:rFonts w:eastAsia="Calibri"/>
        </w:rPr>
        <w:t xml:space="preserve">. The party has </w:t>
      </w:r>
      <w:r w:rsidRPr="00F121D3">
        <w:rPr>
          <w:rFonts w:eastAsia="Calibri"/>
        </w:rPr>
        <w:lastRenderedPageBreak/>
        <w:t xml:space="preserve">positioned itself as Eurosceptic since the 1990s, against Europeanization and multiculturalism </w:t>
      </w:r>
      <w:r w:rsidRPr="00F121D3">
        <w:rPr>
          <w:rFonts w:eastAsia="Calibri"/>
        </w:rPr>
        <w:fldChar w:fldCharType="begin" w:fldLock="1"/>
      </w:r>
      <w:r w:rsidR="00F121D3">
        <w:rPr>
          <w:rFonts w:eastAsia="Calibri"/>
        </w:rPr>
        <w:instrText>ADDIN CSL_CITATION {"citationItems":[{"id":"ITEM-1","itemData":{"DOI":"10.1007/978-3-319-96758-5","ISBN":"3-319-96758-4","abstract":"This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globe.","author":[{"dropping-particle":"","family":"Ivaldi","given":"Gilles","non-dropping-particle":"","parse-names":false,"suffix":""}],"container-title":"Populism Around the World A Comparative Perspective","editor":[{"dropping-particle":"","family":"Stockemer","given":"Daniel","non-dropping-particle":"","parse-names":false,"suffix":""}],"id":"ITEM-1","issued":{"date-parts":[["2019"]]},"language":"eng","note":"Introduction (D. Stockemer) -- Populism in Argentina (W. Muno) -- Parties and Voters in the Populist Market in France (G. Ivaldi) -- Liberal Anxieties, Ambivalent Citizens: Insurgent Nationalism and Promise of Redemption in Rodrigo Duterteâs Philippines (A. Webb, N. Curato) -- Populism in Contemporary Poland (B. Stanley, M. CzeÅnik) -- Populism in Turkey (S. Erdem AytaÃ§, E. ElÃ§i) -- Populism in the United States of America (M. Green. J. K. White) -- Conclusion (D. Stockemer).\n\nThis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globe.\n\nedited by Daniel Stockemer.\n\n\n\nOnline Zugriff nur im Campusnetz der Freien UniversitÃ¤t und der CharitÃ©","page":"27-47","publisher":"Springer International Publishing","publisher-place":"Cham","title":"Populism in France","type":"chapter"},"locator":"32","uris":["http://www.mendeley.com/documents/?uuid=b700b983-3615-47e2-a4b2-3712e73c21b2"]},{"id":"ITEM-2","itemData":{"DOI":"10.1007/978-3-319-49640-5_2","ISBN":"9783319496399","author":[{"dropping-particle":"","family":"Stockemer","given":"Daniel","non-dropping-particle":"","parse-names":false,"suffix":""}],"id":"ITEM-2","issued":{"date-parts":[["2017"]]},"number-of-pages":"113","publisher":"Springer International Publishing","title":"The Front National in France. Continuity and Change Under Jean-Marie Le Pen and Marine Le Pen","type":"book"},"locator":"39","uris":["http://www.mendeley.com/documents/?uuid=4ee81f39-ea40-498b-b557-b52eed935b70"]}],"mendeley":{"formattedCitation":"(Ivaldi, 2019: 32; Stockemer, 2017: 39)","plainTextFormattedCitation":"(Ivaldi, 2019: 32; Stockemer, 2017: 39)","previouslyFormattedCitation":"(Ivaldi, 2019: 32; Stockemer, 2017: 39)"},"properties":{"noteIndex":0},"schema":"https://github.com/citation-style-language/schema/raw/master/csl-citation.json"}</w:instrText>
      </w:r>
      <w:r w:rsidRPr="00F121D3">
        <w:rPr>
          <w:rFonts w:eastAsia="Calibri"/>
        </w:rPr>
        <w:fldChar w:fldCharType="separate"/>
      </w:r>
      <w:r w:rsidR="00F121D3" w:rsidRPr="00F121D3">
        <w:rPr>
          <w:rFonts w:eastAsia="Calibri"/>
          <w:noProof/>
        </w:rPr>
        <w:t>(Ivaldi, 2019: 32; Stockemer, 2017: 39)</w:t>
      </w:r>
      <w:r w:rsidRPr="00F121D3">
        <w:rPr>
          <w:rFonts w:eastAsia="Calibri"/>
        </w:rPr>
        <w:fldChar w:fldCharType="end"/>
      </w:r>
      <w:r w:rsidRPr="00F121D3">
        <w:rPr>
          <w:rFonts w:eastAsia="Calibri"/>
        </w:rPr>
        <w:t xml:space="preserve">. In the European Parliament, the party was part of the ENF group since its foundation in 2015 and left its marks in the area of immigration policies and in the politicization of national sovereignty issues </w:t>
      </w:r>
      <w:r w:rsidRPr="00F121D3">
        <w:rPr>
          <w:rFonts w:eastAsia="Calibri"/>
        </w:rPr>
        <w:fldChar w:fldCharType="begin" w:fldLock="1"/>
      </w:r>
      <w:r w:rsidR="00F121D3">
        <w:rPr>
          <w:rFonts w:eastAsia="Calibri"/>
        </w:rPr>
        <w:instrText>ADDIN CSL_CITATION {"citationItems":[{"id":"ITEM-1","itemData":{"ISSN":"0263-3957","abstract":"This article examines the performance and party system diffusion of Euroscepticism of the French Front National (FN) during recent European crises. The article argues that Europe’s successive crises since 2008 have been essentially ‘absorbed’ by the FN into its existing Eurosceptic framework which is guided by its radical right-wing ideology. While allowing the FN to successfully mobilize issues and grievances about the European Union (EU), Euroscepticism is, however, significantly impeding its strategy of governmental credibility. The article identifies the main political outcomes of these crises and finds differences in impact between the different EU crises on party competition over Europe. These findings provide insight into the relationship between the radical Right, Euroscepticism, and party competition. They also inform our current knowledge of Euroscepticism in French politics, and changes that EU crises have triggered, according to party system location and whether FN influence can be postulated.","author":[{"dropping-particle":"","family":"Ivaldi","given":"Gilles","non-dropping-particle":"","parse-names":false,"suffix":""}],"container-title":"Politics","editor":[{"dropping-particle":"","family":"Pirro","given":"Andrea L. P.","non-dropping-particle":"","parse-names":false,"suffix":""},{"dropping-particle":"","family":"Taggart","given":"Paul","non-dropping-particle":"","parse-names":false,"suffix":""},{"dropping-particle":"","family":"Kessel","given":"Stijn","non-dropping-particle":"van","parse-names":false,"suffix":""}],"id":"ITEM-1","issue":"3","issued":{"date-parts":[["2018"]]},"language":"eng","note":"This article examines the performance and party system diffusion of Euroscepticism of the French Front National (FN) during recent European crises. The article argues that Europe’s successive crises since 2008 have been essentially ‘absorbed’ by the FN into its existing Eurosceptic framework which is guided by its radical right-wing ideology. While allowing the FN to successfully mobilize issues and grievances about the European Union (EU), Euroscepticism is, however, significantly impeding its strategy of governmental credibility. The article identifies the main political outcomes of these crises and finds differences in impact between the different EU crises on party competition over Europe. These findings provide insight into the relationship between the radical Right, Euroscepticism, and party competition. They also inform our current knowledge of Euroscepticism in French politics, and changes that EU crises have triggered, according to party system location and whether FN influence can be postulated.","page":"278-294","publisher-place":"London, England","title":"Contesting the EU in times of crisis: The Front National and politics of Euroscepticism in France","type":"article-journal","volume":"38"},"uris":["http://www.mendeley.com/documents/?uuid=bb0525d2-cdf6-4546-8697-4064badf49c6"]}],"mendeley":{"formattedCitation":"(Ivaldi, 2018)","plainTextFormattedCitation":"(Ivaldi, 2018)","previouslyFormattedCitation":"(Ivaldi, 2018)"},"properties":{"noteIndex":0},"schema":"https://github.com/citation-style-language/schema/raw/master/csl-citation.json"}</w:instrText>
      </w:r>
      <w:r w:rsidRPr="00F121D3">
        <w:rPr>
          <w:rFonts w:eastAsia="Calibri"/>
        </w:rPr>
        <w:fldChar w:fldCharType="separate"/>
      </w:r>
      <w:r w:rsidR="00F121D3" w:rsidRPr="00F121D3">
        <w:rPr>
          <w:rFonts w:eastAsia="Calibri"/>
          <w:noProof/>
        </w:rPr>
        <w:t>(Ivaldi, 2018)</w:t>
      </w:r>
      <w:r w:rsidRPr="00F121D3">
        <w:rPr>
          <w:rFonts w:eastAsia="Calibri"/>
        </w:rPr>
        <w:fldChar w:fldCharType="end"/>
      </w:r>
      <w:r w:rsidRPr="00F121D3">
        <w:rPr>
          <w:rFonts w:eastAsia="Calibri"/>
        </w:rPr>
        <w:t xml:space="preserve">. With 22 seats after the 2019 EP election (23 percent vote share), it strengthens the ID group. </w:t>
      </w:r>
    </w:p>
    <w:p w14:paraId="6E718F66" w14:textId="77777777" w:rsidR="009477C9" w:rsidRPr="00F121D3" w:rsidRDefault="009477C9" w:rsidP="00F121D3">
      <w:pPr>
        <w:jc w:val="both"/>
      </w:pPr>
    </w:p>
    <w:p w14:paraId="6F4B8A7E" w14:textId="1B9E5700" w:rsidR="00840D3A" w:rsidRPr="00F121D3" w:rsidRDefault="00840D3A" w:rsidP="00F121D3">
      <w:pPr>
        <w:jc w:val="both"/>
      </w:pPr>
      <w:r w:rsidRPr="00F121D3">
        <w:t xml:space="preserve">The </w:t>
      </w:r>
      <w:r w:rsidRPr="00F121D3">
        <w:rPr>
          <w:i/>
        </w:rPr>
        <w:t>Alternative for Germany</w:t>
      </w:r>
      <w:r w:rsidRPr="00F121D3">
        <w:t xml:space="preserve"> (</w:t>
      </w:r>
      <w:proofErr w:type="spellStart"/>
      <w:r w:rsidRPr="00F121D3">
        <w:t>AfD</w:t>
      </w:r>
      <w:proofErr w:type="spellEnd"/>
      <w:r w:rsidRPr="00F121D3">
        <w:t xml:space="preserve">) was founded in the context of the Euro Crisis in 2013 </w:t>
      </w:r>
      <w:r w:rsidRPr="00F121D3">
        <w:fldChar w:fldCharType="begin" w:fldLock="1"/>
      </w:r>
      <w:r w:rsidR="00F121D3">
        <w:instrText>ADDIN CSL_CITATION {"citationItems":[{"id":"ITEM-1","itemData":{"DOI":"10.1080/01402382.2015.1004230","ISBN":"0140-2382","ISSN":"17439655","abstract":"Within less than two years of being founded by disgruntled members of the governing CDU, the newly formed Alternative for Germany (AfD) party has already performed extraordinarily well in the 2013 general election, the 2014 EP election, and a string of state elections. Highly unusually by German standards, it campaigned for an end to all efforts to save the euro and argued for a reconfiguration of Germany’s foreign policy. This seems to chime with the recent surge in far-right voting in Western Europe, and the AfD was subsequently described as right-wing populist and Europhobe.","author":[{"dropping-particle":"","family":"Arzheimer","given":"Kai","non-dropping-particle":"","parse-names":false,"suffix":""}],"container-title":"West European Politics","id":"ITEM-1","issue":"3","issued":{"date-parts":[["2015"]]},"page":"535-556","title":"The AfD: Finally a Successful Right-Wing Populist Eurosceptic Party for Germany?","type":"article-journal","volume":"38"},"locator":"535","uris":["http://www.mendeley.com/documents/?uuid=7abb5704-c5a5-491e-ad3e-4f323cab76ed"]},{"id":"ITEM-2","itemData":{"DOI":"10.1093/oxfordhb/9780190274559.013.23","abstract":"This chapter analyzes and compares political developments in Germany, Austria, and Switzerland. It highlights the common ground between groups on the right-wing fringe of each country’s party system. To an extent the differences between the way right-wing groups developed in each of these countries is due to the different histories of the respective states. Recently however, they have moved closer to each other in the face of very similar problems. To a degree Switzerland is a special case because of its multilingual cantons and the early development of a pluralist civic culture that sustains an extraordinarily dynamic democratic constitutional state. This is particularly true given the autocratic relapses toward right-wing politics in neighboring German-speaking countries.","author":[{"dropping-particle":"","family":"Backes","given":"Uwe","non-dropping-particle":"","parse-names":false,"suffix":""}],"container-title":"The Oxford Handbook of the Radical Right","editor":[{"dropping-particle":"","family":"Rydgren","given":"Jens","non-dropping-particle":"","parse-names":false,"suffix":""}],"id":"ITEM-2","issued":{"date-parts":[["2018"]]},"page":"452-477","publisher":"Oxford University Press","publisher-place":"Oxford","title":"The Radical Right in Germany, Austria, and Switzerland","type":"chapter"},"locator":"455","uris":["http://www.mendeley.com/documents/?uuid=36859eb4-7c36-32a6-a832-ca69892aa1a4"]}],"mendeley":{"formattedCitation":"(Arzheimer, 2015: 535; Backes, 2018: 455)","plainTextFormattedCitation":"(Arzheimer, 2015: 535; Backes, 2018: 455)","previouslyFormattedCitation":"(Arzheimer, 2015: 535; Backes, 2018: 455)"},"properties":{"noteIndex":0},"schema":"https://github.com/citation-style-language/schema/raw/master/csl-citation.json"}</w:instrText>
      </w:r>
      <w:r w:rsidRPr="00F121D3">
        <w:fldChar w:fldCharType="separate"/>
      </w:r>
      <w:r w:rsidR="00F121D3" w:rsidRPr="00F121D3">
        <w:rPr>
          <w:noProof/>
        </w:rPr>
        <w:t>(Arzheimer, 2015: 535; Backes, 2018: 455)</w:t>
      </w:r>
      <w:r w:rsidRPr="00F121D3">
        <w:fldChar w:fldCharType="end"/>
      </w:r>
      <w:r w:rsidRPr="00F121D3">
        <w:t xml:space="preserve">. In the beginning, pleading against further European integration and the dissolution of the monetary union was at the </w:t>
      </w:r>
      <w:proofErr w:type="spellStart"/>
      <w:r w:rsidRPr="00F121D3">
        <w:t>center</w:t>
      </w:r>
      <w:proofErr w:type="spellEnd"/>
      <w:r w:rsidRPr="00F121D3">
        <w:t xml:space="preserve"> of the </w:t>
      </w:r>
      <w:proofErr w:type="spellStart"/>
      <w:r w:rsidRPr="00F121D3">
        <w:t>AfD’s</w:t>
      </w:r>
      <w:proofErr w:type="spellEnd"/>
      <w:r w:rsidRPr="00F121D3">
        <w:t xml:space="preserve"> agenda, although always combined with conservative and liberal economic positions </w:t>
      </w:r>
      <w:r w:rsidRPr="00F121D3">
        <w:fldChar w:fldCharType="begin" w:fldLock="1"/>
      </w:r>
      <w:r w:rsidR="00F121D3">
        <w:instrText>ADDIN CSL_CITATION {"citationItems":[{"id":"ITEM-1","itemData":{"DOI":"10.3167/gps.2016.340201","ISSN":"1045-0300","abstract":"Until 2013, right-wing populist or extremist parties were unable to establish themselves as a relevant political force in Germany. With the advent of the Alternative für Deutschland the party landscape has changed significantly. The window of opportunity for the newcomer was opened in 2013 by the Euro crisis. Combining euroskepticism with liberal economic policies and a conservative social issue agenda the AfD mainly capitalized on the neglecting of these matters by the liberal party and the Christian democrats. Controversy between the market-oriented moderate wing represented by party founder Bernd Lucke and the radical advocates of national populism led to the split off of the former in July 2015. Only with the refugee crisis did the AfD regain its electoral fortunes and obtained its best results thus far in the March 2016 state elections. Most probably, the party’s prospects will remain promising if one considers the voter’s side. The main risks lie in its own ranks, where ideological battles, personal struggles and the unresolved question of how to distance the party from right-wing extremism could further self-destruction.","author":[{"dropping-particle":"","family":"Decker","given":"Frank","non-dropping-particle":"","parse-names":false,"suffix":""}],"container-title":"German Politics and Society","id":"ITEM-1","issue":"2","issued":{"date-parts":[["2016"]]},"page":"1-16","title":"The “Alternative for Germany:” Factors Behind its Emergence and Profile of a New Right-wing Populist Party","type":"article-journal","volume":"34"},"locator":"2ff.","uris":["http://www.mendeley.com/documents/?uuid=6766ffc2-3165-4d0d-899a-32bc0e06c869"]}],"mendeley":{"formattedCitation":"(Decker, 2016: 2ff.)","plainTextFormattedCitation":"(Decker, 2016: 2ff.)","previouslyFormattedCitation":"(Decker, 2016: 2ff.)"},"properties":{"noteIndex":0},"schema":"https://github.com/citation-style-language/schema/raw/master/csl-citation.json"}</w:instrText>
      </w:r>
      <w:r w:rsidRPr="00F121D3">
        <w:fldChar w:fldCharType="separate"/>
      </w:r>
      <w:r w:rsidR="00F121D3" w:rsidRPr="00F121D3">
        <w:rPr>
          <w:noProof/>
        </w:rPr>
        <w:t>(Decker, 2016: 2ff.)</w:t>
      </w:r>
      <w:r w:rsidRPr="00F121D3">
        <w:fldChar w:fldCharType="end"/>
      </w:r>
      <w:r w:rsidRPr="00F121D3">
        <w:t xml:space="preserve">. While in the beginning, it was contested whether the </w:t>
      </w:r>
      <w:proofErr w:type="spellStart"/>
      <w:r w:rsidRPr="00F121D3">
        <w:t>AfD</w:t>
      </w:r>
      <w:proofErr w:type="spellEnd"/>
      <w:r w:rsidRPr="00F121D3">
        <w:t xml:space="preserve"> is to be considered right-wing populist – especially since the first party manifesto focused on monetary and fiscal policies </w:t>
      </w:r>
      <w:r w:rsidRPr="00F121D3">
        <w:fldChar w:fldCharType="begin" w:fldLock="1"/>
      </w:r>
      <w:r w:rsidR="00F121D3">
        <w:instrText>ADDIN CSL_CITATION {"citationItems":[{"id":"ITEM-1","itemData":{"DOI":"10.1080/01402382.2015.1004230","ISBN":"0140-2382","ISSN":"17439655","abstract":"Within less than two years of being founded by disgruntled members of the governing CDU, the newly formed Alternative for Germany (AfD) party has already performed extraordinarily well in the 2013 general election, the 2014 EP election, and a string of state elections. Highly unusually by German standards, it campaigned for an end to all efforts to save the euro and argued for a reconfiguration of Germany’s foreign policy. This seems to chime with the recent surge in far-right voting in Western Europe, and the AfD was subsequently described as right-wing populist and Europhobe.","author":[{"dropping-particle":"","family":"Arzheimer","given":"Kai","non-dropping-particle":"","parse-names":false,"suffix":""}],"container-title":"West European Politics","id":"ITEM-1","issue":"3","issued":{"date-parts":[["2015"]]},"page":"535-556","title":"The AfD: Finally a Successful Right-Wing Populist Eurosceptic Party for Germany?","type":"article-journal","volume":"38"},"locator":"541","uris":["http://www.mendeley.com/documents/?uuid=7abb5704-c5a5-491e-ad3e-4f323cab76ed"]}],"mendeley":{"formattedCitation":"(Arzheimer, 2015: 541)","plainTextFormattedCitation":"(Arzheimer, 2015: 541)","previouslyFormattedCitation":"(Arzheimer, 2015: 541)"},"properties":{"noteIndex":0},"schema":"https://github.com/citation-style-language/schema/raw/master/csl-citation.json"}</w:instrText>
      </w:r>
      <w:r w:rsidRPr="00F121D3">
        <w:fldChar w:fldCharType="separate"/>
      </w:r>
      <w:r w:rsidR="00F121D3" w:rsidRPr="00F121D3">
        <w:rPr>
          <w:noProof/>
        </w:rPr>
        <w:t>(Arzheimer, 2015: 541)</w:t>
      </w:r>
      <w:r w:rsidRPr="00F121D3">
        <w:fldChar w:fldCharType="end"/>
      </w:r>
      <w:r w:rsidRPr="00F121D3">
        <w:t xml:space="preserve"> – later on</w:t>
      </w:r>
      <w:r w:rsidR="00D72B37">
        <w:t>,</w:t>
      </w:r>
      <w:r w:rsidRPr="00F121D3">
        <w:t xml:space="preserve"> research classified the party as right-wing populist </w:t>
      </w:r>
      <w:r w:rsidRPr="00F121D3">
        <w:fldChar w:fldCharType="begin" w:fldLock="1"/>
      </w:r>
      <w:r w:rsidR="00F121D3">
        <w:instrText>ADDIN CSL_CITATION {"citationItems":[{"id":"ITEM-1","itemData":{"DOI":"10.5771/0032-3470-2016-2-247","ISSN":"18622860","abstract":"Seit ihrer Gründung ist die Alternative für Deutschland (AfD) Gegenstand einer lebhaften Debatte. In der Öffentlichkeit vor allem als „euroskeptisch“ verhandelt, sieht sich die Par- tei immer wieder dem Vorwurf ausgesetzt, auch gesellschafts- und integrationspolitisch konservative bis rechte Positionen zu vertreten und zugleich einen Anti-Establishment-Habitus zu pflegen. Auf Grundlage theoretischer Überlegungen zum (Rechts-)Populismus deduzieren wir ein Messkonzept und wenden dies mithilfe einer Kandidatenbefragung auf die relevanten Parteien bei der Bundestagswahl 2013 an. Unsere Analyse ergibt, dass die AfD im Vergleich zu den anderen Parteien eindeutig als rechtspopulistisch bezeichnet werden kann. Darüber hinaus lassen die Ergebnisse eine Anwendung des Messkonzepts auf andere Länder im Rahmen vergleichender Studien sinnvoll erscheinen.","author":[{"dropping-particle":"","family":"Lewandowsky","given":"Marcel","non-dropping-particle":"","parse-names":false,"suffix":""},{"dropping-particle":"","family":"Giebler","given":"Heiko","non-dropping-particle":"","parse-names":false,"suffix":""},{"dropping-particle":"","family":"Wagner","given":"Aiko","non-dropping-particle":"","parse-names":false,"suffix":""}],"container-title":"Politische Vierteljahresschrift","id":"ITEM-1","issue":"2","issued":{"date-parts":[["2016"]]},"page":"247-275","title":"Rechtspopulismus in Deutschland. Eine empirische Einordnung der Parteien zur Bundestagswahl 2013 unter besonderer Berücksichtigung der AfD","type":"article-journal","volume":"57"},"uris":["http://www.mendeley.com/documents/?uuid=b5a51c56-11ab-4cd8-b113-c36e161d016d"]}],"mendeley":{"formattedCitation":"(Lewandowsky et al., 2016)","plainTextFormattedCitation":"(Lewandowsky et al., 2016)","previouslyFormattedCitation":"(Lewandowsky et al., 2016)"},"properties":{"noteIndex":0},"schema":"https://github.com/citation-style-language/schema/raw/master/csl-citation.json"}</w:instrText>
      </w:r>
      <w:r w:rsidRPr="00F121D3">
        <w:fldChar w:fldCharType="separate"/>
      </w:r>
      <w:r w:rsidR="00F121D3" w:rsidRPr="00F121D3">
        <w:rPr>
          <w:noProof/>
        </w:rPr>
        <w:t>(Lewandowsky et al., 2016)</w:t>
      </w:r>
      <w:r w:rsidRPr="00F121D3">
        <w:fldChar w:fldCharType="end"/>
      </w:r>
      <w:r w:rsidRPr="00F121D3">
        <w:t xml:space="preserve"> and found that since 2015 the </w:t>
      </w:r>
      <w:proofErr w:type="spellStart"/>
      <w:r w:rsidRPr="00F121D3">
        <w:t>AfD</w:t>
      </w:r>
      <w:proofErr w:type="spellEnd"/>
      <w:r w:rsidRPr="00F121D3">
        <w:t xml:space="preserve"> “moved closer to the profile of the European Radical Right” </w:t>
      </w:r>
      <w:r w:rsidRPr="00F121D3">
        <w:fldChar w:fldCharType="begin" w:fldLock="1"/>
      </w:r>
      <w:r w:rsidR="00F121D3">
        <w:instrText>ADDIN CSL_CITATION {"citationItems":[{"id":"ITEM-1","itemData":{"DOI":"10.1093/oxfordhb/9780190274559.013.23","abstract":"This chapter analyzes and compares political developments in Germany, Austria, and Switzerland. It highlights the common ground between groups on the right-wing fringe of each country’s party system. To an extent the differences between the way right-wing groups developed in each of these countries is due to the different histories of the respective states. Recently however, they have moved closer to each other in the face of very similar problems. To a degree Switzerland is a special case because of its multilingual cantons and the early development of a pluralist civic culture that sustains an extraordinarily dynamic democratic constitutional state. This is particularly true given the autocratic relapses toward right-wing politics in neighboring German-speaking countries.","author":[{"dropping-particle":"","family":"Backes","given":"Uwe","non-dropping-particle":"","parse-names":false,"suffix":""}],"container-title":"The Oxford Handbook of the Radical Right","editor":[{"dropping-particle":"","family":"Rydgren","given":"Jens","non-dropping-particle":"","parse-names":false,"suffix":""}],"id":"ITEM-1","issued":{"date-parts":[["2018"]]},"page":"452-477","publisher":"Oxford University Press","publisher-place":"Oxford","title":"The Radical Right in Germany, Austria, and Switzerland","type":"chapter"},"locator":"455","uris":["http://www.mendeley.com/documents/?uuid=36859eb4-7c36-32a6-a832-ca69892aa1a4"]},{"id":"ITEM-2","itemData":{"URL":"http://hdl.handle.net/10419/146530","abstract":"Die Alternative für Deutschland (AfD) ist drei Jahre nach ihrer Gründung in acht deutschen Landtagen vertreten. Die mit europa-kritischem und national-konservativem Profil gegründete Partei hat sich sowohl programmatisch als auch personell stark verändert und ähnelt zunehmend anderen rechtspopulistischen Parteien in Europa. Die vorliegende Untersuchung auf Basis der Daten des Sozio-oekonomischen Panels (SOEP) der Jahre 2014 bis 2016 deutet darauf hin, dass die Bindung der AnhängerInnen an die AfD verhältnismäßig schnell erfolgt ist. Drei Jahre nach Gründung geben mehr Menschen an, sich mit der AfD verbunden zu fühlen, als jemals mit den Republikanern, der DVU oder der NPD. Der Anteil der Parteibindungen ist im Falle der AfD damit ungefähr so hoch wie das langfristige Mittel der FDP und etwas unter dem Niveau der Grünen in den 1980er Jahren. Die AfD-AnhängerInnen-schaft ist im Umfang gewachsen und hat sich in ihrer Zusammen-setzung deutlich verändert: Die Partei findet ihre AnhängerInnen mehr und mehr unter NichtwählerInnen und im Lager rechtsextre-mer Parteien sowie unter BürgerInnen, die angaben, unzufrieden mit der Demokratie zu sein und solchen, die erklärten, sich vor Zuwanderung zu fürchten. Die Alternative für Deutschland (AfD) ist heute in der Hälfte der deutschen Landesparlamente vertreten. Öffentlichkeit und Medien diskutieren, ob es der AfD ge-lingen wird, sich dauerhaft in der deutschen Parteien-landschaft zu etablieren.","accessed":{"date-parts":[["2019","10","31"]]},"author":[{"dropping-particle":"","family":"Kroh","given":"Martin","non-dropping-particle":"","parse-names":false,"suffix":""},{"dropping-particle":"","family":"Fetz","given":"Karolina","non-dropping-particle":"","parse-names":false,"suffix":""}],"container-title":"DIW Wochenbericht","id":"ITEM-2","issue":"34","issued":{"date-parts":[["2016"]]},"page":"711-719","title":"Das Profil der AfD-AnhängerInnen hat sich seit Gründung der Partei deutlich verändert","type":"webpage","volume":"83"},"prefix":"see also","uris":["http://www.mendeley.com/documents/?uuid=a4c02fe6-c368-4b66-8647-8bd15c4b281b"]},{"id":"ITEM-3","itemData":{"DOI":"10.1080/09644008.2016.1184650","ISSN":"17438993","abstract":"The good result of the recently formed Alternative für Deutschland (AfD) was a striking outcome of the 2013 Federal Election. This article explores why AfD supporters chose this party at the 2013 Federal Election and at the 2014 European and eastern German State (Land) Elections. At the Federal Election the AfD's electorate was composed of two groups: a minority of instrumental issue-voters that were drawn to the AfD by its emphasis and positioning on the Euro crisis, and a majority of ?late supporters? that decided close to Election Day and were moved more by expressive motives, most notably xenophobic sentiments like those identified in other European countries as a main source of support for right-wing populist parties. The analysis of the subsequent elections shows that, paralleling developments in the AfD's public rhetoric, the Euro crisis ceased to be important for AfD support whereas xenophobic motives became more central.","author":[{"dropping-particle":"","family":"Schmitt-Beck","given":"Rüdiger","non-dropping-particle":"","parse-names":false,"suffix":""}],"container-title":"German Politics","id":"ITEM-3","issue":"1","issued":{"date-parts":[["2017"]]},"page":"124-148","publisher":"Taylor &amp; Francis","title":"The ‘Alternative für Deutschland' in the electorate: Between single-issue and right-wing populist party","type":"article-journal","volume":"26"},"uris":["http://www.mendeley.com/documents/?uuid=8d075532-caf5-4449-a9d6-deadfe0c725e"]}],"mendeley":{"formattedCitation":"(Backes, 2018: 455; see also Kroh and Fetz, 2016; Schmitt-Beck, 2017)","plainTextFormattedCitation":"(Backes, 2018: 455; see also Kroh and Fetz, 2016; Schmitt-Beck, 2017)","previouslyFormattedCitation":"(Backes, 2018: 455; see also Kroh and Fetz, 2016; Schmitt-Beck, 2017)"},"properties":{"noteIndex":0},"schema":"https://github.com/citation-style-language/schema/raw/master/csl-citation.json"}</w:instrText>
      </w:r>
      <w:r w:rsidRPr="00F121D3">
        <w:fldChar w:fldCharType="separate"/>
      </w:r>
      <w:r w:rsidR="00F121D3" w:rsidRPr="00F121D3">
        <w:rPr>
          <w:noProof/>
        </w:rPr>
        <w:t>(Backes, 2018: 455; see also Kroh and Fetz, 2016; Schmitt-Beck, 2017)</w:t>
      </w:r>
      <w:r w:rsidRPr="00F121D3">
        <w:fldChar w:fldCharType="end"/>
      </w:r>
      <w:r w:rsidRPr="00F121D3">
        <w:t xml:space="preserve">. Since then, the </w:t>
      </w:r>
      <w:proofErr w:type="spellStart"/>
      <w:r w:rsidRPr="00F121D3">
        <w:t>AfD</w:t>
      </w:r>
      <w:proofErr w:type="spellEnd"/>
      <w:r w:rsidRPr="00F121D3">
        <w:t xml:space="preserve"> focusses on immigration as one of the major problems facing modern societies </w:t>
      </w:r>
      <w:r w:rsidRPr="00F121D3">
        <w:fldChar w:fldCharType="begin" w:fldLock="1"/>
      </w:r>
      <w:r w:rsidR="00F121D3">
        <w:instrText>ADDIN CSL_CITATION {"citationItems":[{"id":"ITEM-1","itemData":{"DOI":"10.1093/oxfordhb/9780190274559.013.23","abstract":"This chapter analyzes and compares political developments in Germany, Austria, and Switzerland. It highlights the common ground between groups on the right-wing fringe of each country’s party system. To an extent the differences between the way right-wing groups developed in each of these countries is due to the different histories of the respective states. Recently however, they have moved closer to each other in the face of very similar problems. To a degree Switzerland is a special case because of its multilingual cantons and the early development of a pluralist civic culture that sustains an extraordinarily dynamic democratic constitutional state. This is particularly true given the autocratic relapses toward right-wing politics in neighboring German-speaking countries.","author":[{"dropping-particle":"","family":"Backes","given":"Uwe","non-dropping-particle":"","parse-names":false,"suffix":""}],"container-title":"The Oxford Handbook of the Radical Right","editor":[{"dropping-particle":"","family":"Rydgren","given":"Jens","non-dropping-particle":"","parse-names":false,"suffix":""}],"id":"ITEM-1","issued":{"date-parts":[["2018"]]},"page":"452-477","publisher":"Oxford University Press","publisher-place":"Oxford","title":"The Radical Right in Germany, Austria, and Switzerland","type":"chapter"},"locator":"457","uris":["http://www.mendeley.com/documents/?uuid=36859eb4-7c36-32a6-a832-ca69892aa1a4"]}],"mendeley":{"formattedCitation":"(Backes, 2018: 457)","plainTextFormattedCitation":"(Backes, 2018: 457)","previouslyFormattedCitation":"(Backes, 2018: 457)"},"properties":{"noteIndex":0},"schema":"https://github.com/citation-style-language/schema/raw/master/csl-citation.json"}</w:instrText>
      </w:r>
      <w:r w:rsidRPr="00F121D3">
        <w:fldChar w:fldCharType="separate"/>
      </w:r>
      <w:r w:rsidR="00F121D3" w:rsidRPr="00F121D3">
        <w:rPr>
          <w:noProof/>
        </w:rPr>
        <w:t>(Backes, 2018: 457)</w:t>
      </w:r>
      <w:r w:rsidRPr="00F121D3">
        <w:fldChar w:fldCharType="end"/>
      </w:r>
      <w:r w:rsidRPr="00F121D3">
        <w:t xml:space="preserve">. Besides immigration, identity politics as well as family and gender policies have been described as top issues on the parties’ agenda </w:t>
      </w:r>
      <w:r w:rsidRPr="00F121D3">
        <w:fldChar w:fldCharType="begin" w:fldLock="1"/>
      </w:r>
      <w:r w:rsidR="00F121D3">
        <w:instrText>ADDIN CSL_CITATION {"citationItems":[{"id":"ITEM-1","itemData":{"DOI":"10.3167/gps.2016.340201","ISSN":"1045-0300","abstract":"Until 2013, right-wing populist or extremist parties were unable to establish themselves as a relevant political force in Germany. With the advent of the Alternative für Deutschland the party landscape has changed significantly. The window of opportunity for the newcomer was opened in 2013 by the Euro crisis. Combining euroskepticism with liberal economic policies and a conservative social issue agenda the AfD mainly capitalized on the neglecting of these matters by the liberal party and the Christian democrats. Controversy between the market-oriented moderate wing represented by party founder Bernd Lucke and the radical advocates of national populism led to the split off of the former in July 2015. Only with the refugee crisis did the AfD regain its electoral fortunes and obtained its best results thus far in the March 2016 state elections. Most probably, the party’s prospects will remain promising if one considers the voter’s side. The main risks lie in its own ranks, where ideological battles, personal struggles and the unresolved question of how to distance the party from right-wing extremism could further self-destruction.","author":[{"dropping-particle":"","family":"Decker","given":"Frank","non-dropping-particle":"","parse-names":false,"suffix":""}],"container-title":"German Politics and Society","id":"ITEM-1","issue":"2","issued":{"date-parts":[["2016"]]},"page":"1-16","title":"The “Alternative for Germany:” Factors Behind its Emergence and Profile of a New Right-wing Populist Party","type":"article-journal","volume":"34"},"locator":"6","uris":["http://www.mendeley.com/documents/?uuid=6766ffc2-3165-4d0d-899a-32bc0e06c869"]}],"mendeley":{"formattedCitation":"(Decker, 2016: 6)","plainTextFormattedCitation":"(Decker, 2016: 6)","previouslyFormattedCitation":"(Decker, 2016: 6)"},"properties":{"noteIndex":0},"schema":"https://github.com/citation-style-language/schema/raw/master/csl-citation.json"}</w:instrText>
      </w:r>
      <w:r w:rsidRPr="00F121D3">
        <w:fldChar w:fldCharType="separate"/>
      </w:r>
      <w:r w:rsidR="00F121D3" w:rsidRPr="00F121D3">
        <w:rPr>
          <w:noProof/>
        </w:rPr>
        <w:t>(Decker, 2016: 6)</w:t>
      </w:r>
      <w:r w:rsidRPr="00F121D3">
        <w:fldChar w:fldCharType="end"/>
      </w:r>
      <w:r w:rsidRPr="00F121D3">
        <w:t xml:space="preserve">. In the European context, however, the </w:t>
      </w:r>
      <w:proofErr w:type="spellStart"/>
      <w:r w:rsidRPr="00F121D3">
        <w:t>AfD</w:t>
      </w:r>
      <w:proofErr w:type="spellEnd"/>
      <w:r w:rsidRPr="00F121D3">
        <w:t xml:space="preserve"> first tried to establish itself as a conservative party. In 2014, they pursued membership in the conservative parliamentary group to avoid association with Eurosceptic parties such as UKIP or </w:t>
      </w:r>
      <w:r w:rsidR="001941B1">
        <w:t xml:space="preserve">radical right </w:t>
      </w:r>
      <w:r w:rsidRPr="00F121D3">
        <w:t xml:space="preserve">parties such as France’s National Front or Italy’s Northern League </w:t>
      </w:r>
      <w:r w:rsidRPr="00F121D3">
        <w:fldChar w:fldCharType="begin" w:fldLock="1"/>
      </w:r>
      <w:r w:rsidR="00F121D3">
        <w:instrText>ADDIN CSL_CITATION {"citationItems":[{"id":"ITEM-1","itemData":{"DOI":"10.3167/gps.2016.340201","ISSN":"1045-0300","abstract":"Until 2013, right-wing populist or extremist parties were unable to establish themselves as a relevant political force in Germany. With the advent of the Alternative für Deutschland the party landscape has changed significantly. The window of opportunity for the newcomer was opened in 2013 by the Euro crisis. Combining euroskepticism with liberal economic policies and a conservative social issue agenda the AfD mainly capitalized on the neglecting of these matters by the liberal party and the Christian democrats. Controversy between the market-oriented moderate wing represented by party founder Bernd Lucke and the radical advocates of national populism led to the split off of the former in July 2015. Only with the refugee crisis did the AfD regain its electoral fortunes and obtained its best results thus far in the March 2016 state elections. Most probably, the party’s prospects will remain promising if one considers the voter’s side. The main risks lie in its own ranks, where ideological battles, personal struggles and the unresolved question of how to distance the party from right-wing extremism could further self-destruction.","author":[{"dropping-particle":"","family":"Decker","given":"Frank","non-dropping-particle":"","parse-names":false,"suffix":""}],"container-title":"German Politics and Society","id":"ITEM-1","issue":"2","issued":{"date-parts":[["2016"]]},"page":"1-16","title":"The “Alternative for Germany:” Factors Behind its Emergence and Profile of a New Right-wing Populist Party","type":"article-journal","volume":"34"},"locator":"4","uris":["http://www.mendeley.com/documents/?uuid=6766ffc2-3165-4d0d-899a-32bc0e06c869"]}],"mendeley":{"formattedCitation":"(Decker, 2016: 4)","plainTextFormattedCitation":"(Decker, 2016: 4)","previouslyFormattedCitation":"(Decker, 2016: 4)"},"properties":{"noteIndex":0},"schema":"https://github.com/citation-style-language/schema/raw/master/csl-citation.json"}</w:instrText>
      </w:r>
      <w:r w:rsidRPr="00F121D3">
        <w:fldChar w:fldCharType="separate"/>
      </w:r>
      <w:r w:rsidR="00F121D3" w:rsidRPr="00F121D3">
        <w:rPr>
          <w:noProof/>
        </w:rPr>
        <w:t>(Decker, 2016: 4)</w:t>
      </w:r>
      <w:r w:rsidRPr="00F121D3">
        <w:fldChar w:fldCharType="end"/>
      </w:r>
      <w:r w:rsidRPr="00F121D3">
        <w:t xml:space="preserve">. After being part of the European </w:t>
      </w:r>
      <w:proofErr w:type="spellStart"/>
      <w:r w:rsidRPr="00F121D3">
        <w:t>Conservativs</w:t>
      </w:r>
      <w:proofErr w:type="spellEnd"/>
      <w:r w:rsidRPr="00F121D3">
        <w:t xml:space="preserve"> and Reformist group (ECR) until 2016, they joined Europe of Freedom and Direct Democracy (EFDD) </w:t>
      </w:r>
      <w:r w:rsidRPr="00F121D3">
        <w:fldChar w:fldCharType="begin" w:fldLock="1"/>
      </w:r>
      <w:r w:rsidR="00F121D3">
        <w:instrText>ADDIN CSL_CITATION {"citationItems":[{"id":"ITEM-1","itemData":{"URL":"http://hdl.handle.net/10419/146530","abstract":"Die Alternative für Deutschland (AfD) ist drei Jahre nach ihrer Gründung in acht deutschen Landtagen vertreten. Die mit europa-kritischem und national-konservativem Profil gegründete Partei hat sich sowohl programmatisch als auch personell stark verändert und ähnelt zunehmend anderen rechtspopulistischen Parteien in Europa. Die vorliegende Untersuchung auf Basis der Daten des Sozio-oekonomischen Panels (SOEP) der Jahre 2014 bis 2016 deutet darauf hin, dass die Bindung der AnhängerInnen an die AfD verhältnismäßig schnell erfolgt ist. Drei Jahre nach Gründung geben mehr Menschen an, sich mit der AfD verbunden zu fühlen, als jemals mit den Republikanern, der DVU oder der NPD. Der Anteil der Parteibindungen ist im Falle der AfD damit ungefähr so hoch wie das langfristige Mittel der FDP und etwas unter dem Niveau der Grünen in den 1980er Jahren. Die AfD-AnhängerInnen-schaft ist im Umfang gewachsen und hat sich in ihrer Zusammen-setzung deutlich verändert: Die Partei findet ihre AnhängerInnen mehr und mehr unter NichtwählerInnen und im Lager rechtsextre-mer Parteien sowie unter BürgerInnen, die angaben, unzufrieden mit der Demokratie zu sein und solchen, die erklärten, sich vor Zuwanderung zu fürchten. Die Alternative für Deutschland (AfD) ist heute in der Hälfte der deutschen Landesparlamente vertreten. Öffentlichkeit und Medien diskutieren, ob es der AfD ge-lingen wird, sich dauerhaft in der deutschen Parteien-landschaft zu etablieren.","accessed":{"date-parts":[["2019","10","31"]]},"author":[{"dropping-particle":"","family":"Kroh","given":"Martin","non-dropping-particle":"","parse-names":false,"suffix":""},{"dropping-particle":"","family":"Fetz","given":"Karolina","non-dropping-particle":"","parse-names":false,"suffix":""}],"container-title":"DIW Wochenbericht","id":"ITEM-1","issue":"34","issued":{"date-parts":[["2016"]]},"page":"711-719","title":"Das Profil der AfD-AnhängerInnen hat sich seit Gründung der Partei deutlich verändert","type":"webpage","volume":"83"},"uris":["http://www.mendeley.com/documents/?uuid=a4c02fe6-c368-4b66-8647-8bd15c4b281b"]}],"mendeley":{"formattedCitation":"(Kroh and Fetz, 2016)","plainTextFormattedCitation":"(Kroh and Fetz, 2016)","previouslyFormattedCitation":"(Kroh and Fetz, 2016)"},"properties":{"noteIndex":0},"schema":"https://github.com/citation-style-language/schema/raw/master/csl-citation.json"}</w:instrText>
      </w:r>
      <w:r w:rsidRPr="00F121D3">
        <w:fldChar w:fldCharType="separate"/>
      </w:r>
      <w:r w:rsidR="00F121D3" w:rsidRPr="00F121D3">
        <w:rPr>
          <w:noProof/>
        </w:rPr>
        <w:t>(Kroh and Fetz, 2016)</w:t>
      </w:r>
      <w:r w:rsidRPr="00F121D3">
        <w:fldChar w:fldCharType="end"/>
      </w:r>
      <w:r w:rsidRPr="00F121D3">
        <w:t xml:space="preserve">. In the 2019 EP election, the </w:t>
      </w:r>
      <w:proofErr w:type="spellStart"/>
      <w:r w:rsidRPr="00F121D3">
        <w:t>AfD</w:t>
      </w:r>
      <w:proofErr w:type="spellEnd"/>
      <w:r w:rsidRPr="00F121D3">
        <w:t xml:space="preserve"> gained 11 percent vote share </w:t>
      </w:r>
      <w:r w:rsidRPr="00F121D3">
        <w:lastRenderedPageBreak/>
        <w:t xml:space="preserve">and joined the Identity and Democracy group (ID) afterwards, together with Lega, </w:t>
      </w:r>
      <w:proofErr w:type="spellStart"/>
      <w:r w:rsidRPr="00F121D3">
        <w:rPr>
          <w:rFonts w:eastAsia="Calibri"/>
        </w:rPr>
        <w:t>Rassemblement</w:t>
      </w:r>
      <w:proofErr w:type="spellEnd"/>
      <w:r w:rsidRPr="00F121D3">
        <w:rPr>
          <w:rFonts w:eastAsia="Calibri"/>
        </w:rPr>
        <w:t xml:space="preserve"> </w:t>
      </w:r>
      <w:r w:rsidRPr="00F121D3">
        <w:t xml:space="preserve">National, and FPÖ. </w:t>
      </w:r>
    </w:p>
    <w:p w14:paraId="56B9F942" w14:textId="379C40C1" w:rsidR="009477C9" w:rsidRPr="00F121D3" w:rsidRDefault="009477C9" w:rsidP="00F121D3">
      <w:pPr>
        <w:jc w:val="both"/>
      </w:pPr>
    </w:p>
    <w:p w14:paraId="006CF58C" w14:textId="23021E9D" w:rsidR="009477C9" w:rsidRPr="00F121D3" w:rsidRDefault="009477C9" w:rsidP="00F121D3">
      <w:pPr>
        <w:jc w:val="both"/>
      </w:pPr>
      <w:r w:rsidRPr="00F121D3">
        <w:rPr>
          <w:rFonts w:eastAsia="Calibri"/>
        </w:rPr>
        <w:t xml:space="preserve">The </w:t>
      </w:r>
      <w:r w:rsidRPr="00F121D3">
        <w:rPr>
          <w:rFonts w:eastAsia="Calibri"/>
          <w:i/>
        </w:rPr>
        <w:t>Lega Nord</w:t>
      </w:r>
      <w:r w:rsidRPr="00F121D3">
        <w:rPr>
          <w:rFonts w:eastAsia="Calibri"/>
        </w:rPr>
        <w:t xml:space="preserve">, founded in 1991 as a regionalist party, radicalized after 9/11 </w:t>
      </w:r>
      <w:r w:rsidRPr="00F121D3">
        <w:rPr>
          <w:rFonts w:eastAsia="Calibri"/>
        </w:rPr>
        <w:fldChar w:fldCharType="begin" w:fldLock="1"/>
      </w:r>
      <w:r w:rsidR="00F121D3">
        <w:rPr>
          <w:rFonts w:eastAsia="Calibri"/>
        </w:rPr>
        <w:instrText>ADDIN CSL_CITATION {"citationItems":[{"id":"ITEM-1","itemData":{"ISSN":"1359-7566","abstract":"ABSTRACT Whilst the Lega Nord has traditionally been defined as a regionalist populist party, since Matteo Salvini became its leader in 2013 it has undergone a process of profound ideological transformation. This article assesses this momentous change and the impact it could have on the future of the Lega, drawing on a content analysis of Salviniâs and the partyâs Facebook posts, as well as interviews with regional leaders. It argues that, under Salviniâs personal style of leadership: (a) regionalism has been replaced by an empty form of nativist nationalism, which fails to address socio-economic issues related to the NorthâSouth divide","author":[{"dropping-particle":"","family":"Albertazzi","given":"Daniele","non-dropping-particle":"","parse-names":false,"suffix":""},{"dropping-particle":"","family":"Giovannini","given":"Arianna","non-dropping-particle":"","parse-names":false,"suffix":""},{"dropping-particle":"","family":"Seddone","given":"Antonella","non-dropping-particle":"","parse-names":false,"suffix":""}],"container-title":"Regional &amp; Federal Studies","id":"ITEM-1","issue":"5","issued":{"date-parts":[["2018"]]},"language":"eng","note":"Whilst the Lega Nord has traditionally been defined as a regionalist populist party, since Matteo Salvini became its leader in 2013 it has undergone a process of profound ideological transformation. This article assesses this momentous change and the impact it could have on the future of the Lega, drawing on a content analysis of Salviniâs and the partyâs Facebook posts, as well as interviews with regional leaders. It argues that, under Salviniâs personal style of leadership: (a) regionalism has been replaced by an empty form of nativist nationalism, which fails to address socio-economic issues related to the NorthâSouth divide\n\n(b) populism remains central to the partyâs strategic communication, but the EU has taken Romeâs place as the peopleâs âenemyâ\n\n(c) this ideological shift has paid-off at the 2018 general election, but is underpinned by latent fractures between the leader and regional representatives which could have profound implications in the future.","page":"645-671","title":"'No regionalism please, we are Leghisti!' The transformation of the Italian Lega Nord under the leadership of Matteo Salvini","type":"article-journal","volume":"28"},"locator":"646-648","uris":["http://www.mendeley.com/documents/?uuid=a777a5d0-222f-418c-b666-b6671bd15535"]}],"mendeley":{"formattedCitation":"(Albertazzi et al., 2018: 646–648)","plainTextFormattedCitation":"(Albertazzi et al., 2018: 646–648)","previouslyFormattedCitation":"(Albertazzi et al., 2018: 646–648)"},"properties":{"noteIndex":0},"schema":"https://github.com/citation-style-language/schema/raw/master/csl-citation.json"}</w:instrText>
      </w:r>
      <w:r w:rsidRPr="00F121D3">
        <w:rPr>
          <w:rFonts w:eastAsia="Calibri"/>
        </w:rPr>
        <w:fldChar w:fldCharType="separate"/>
      </w:r>
      <w:r w:rsidR="00F121D3" w:rsidRPr="00F121D3">
        <w:rPr>
          <w:rFonts w:eastAsia="Calibri"/>
          <w:noProof/>
        </w:rPr>
        <w:t>(Albertazzi et al., 2018: 646–648)</w:t>
      </w:r>
      <w:r w:rsidRPr="00F121D3">
        <w:rPr>
          <w:rFonts w:eastAsia="Calibri"/>
        </w:rPr>
        <w:fldChar w:fldCharType="end"/>
      </w:r>
      <w:r w:rsidRPr="00F121D3">
        <w:rPr>
          <w:rFonts w:eastAsia="Calibri"/>
        </w:rPr>
        <w:t xml:space="preserve"> and increasingly focussed on immigration, identity issues</w:t>
      </w:r>
      <w:r w:rsidR="00D72B37">
        <w:rPr>
          <w:rFonts w:eastAsia="Calibri"/>
        </w:rPr>
        <w:t>,</w:t>
      </w:r>
      <w:r w:rsidRPr="00F121D3">
        <w:rPr>
          <w:rFonts w:eastAsia="Calibri"/>
        </w:rPr>
        <w:t xml:space="preserve"> and law and order </w:t>
      </w:r>
      <w:r w:rsidRPr="00F121D3">
        <w:rPr>
          <w:rFonts w:eastAsia="Calibri"/>
        </w:rPr>
        <w:fldChar w:fldCharType="begin" w:fldLock="1"/>
      </w:r>
      <w:r w:rsidR="00F121D3">
        <w:rPr>
          <w:rFonts w:eastAsia="Calibri"/>
        </w:rPr>
        <w:instrText>ADDIN CSL_CITATION {"citationItems":[{"id":"ITEM-1","itemData":{"ISSN":"1359-7566","abstract":"ABSTRACT Whilst the Lega Nord has traditionally been defined as a regionalist populist party, since Matteo Salvini became its leader in 2013 it has undergone a process of profound ideological transformation. This article assesses this momentous change and the impact it could have on the future of the Lega, drawing on a content analysis of Salviniâs and the partyâs Facebook posts, as well as interviews with regional leaders. It argues that, under Salviniâs personal style of leadership: (a) regionalism has been replaced by an empty form of nativist nationalism, which fails to address socio-economic issues related to the NorthâSouth divide","author":[{"dropping-particle":"","family":"Albertazzi","given":"Daniele","non-dropping-particle":"","parse-names":false,"suffix":""},{"dropping-particle":"","family":"Giovannini","given":"Arianna","non-dropping-particle":"","parse-names":false,"suffix":""},{"dropping-particle":"","family":"Seddone","given":"Antonella","non-dropping-particle":"","parse-names":false,"suffix":""}],"container-title":"Regional &amp; Federal Studies","id":"ITEM-1","issue":"5","issued":{"date-parts":[["2018"]]},"language":"eng","note":"Whilst the Lega Nord has traditionally been defined as a regionalist populist party, since Matteo Salvini became its leader in 2013 it has undergone a process of profound ideological transformation. This article assesses this momentous change and the impact it could have on the future of the Lega, drawing on a content analysis of Salviniâs and the partyâs Facebook posts, as well as interviews with regional leaders. It argues that, under Salviniâs personal style of leadership: (a) regionalism has been replaced by an empty form of nativist nationalism, which fails to address socio-economic issues related to the NorthâSouth divide\n\n(b) populism remains central to the partyâs strategic communication, but the EU has taken Romeâs place as the peopleâs âenemyâ\n\n(c) this ideological shift has paid-off at the 2018 general election, but is underpinned by latent fractures between the leader and regional representatives which could have profound implications in the future.","page":"645-671","title":"'No regionalism please, we are Leghisti!' The transformation of the Italian Lega Nord under the leadership of Matteo Salvini","type":"article-journal","volume":"28"},"locator":"649","uris":["http://www.mendeley.com/documents/?uuid=a777a5d0-222f-418c-b666-b6671bd15535"]}],"mendeley":{"formattedCitation":"(Albertazzi et al., 2018: 649)","plainTextFormattedCitation":"(Albertazzi et al., 2018: 649)","previouslyFormattedCitation":"(Albertazzi et al., 2018: 649)"},"properties":{"noteIndex":0},"schema":"https://github.com/citation-style-language/schema/raw/master/csl-citation.json"}</w:instrText>
      </w:r>
      <w:r w:rsidRPr="00F121D3">
        <w:rPr>
          <w:rFonts w:eastAsia="Calibri"/>
        </w:rPr>
        <w:fldChar w:fldCharType="separate"/>
      </w:r>
      <w:r w:rsidR="00F121D3" w:rsidRPr="00F121D3">
        <w:rPr>
          <w:rFonts w:eastAsia="Calibri"/>
          <w:noProof/>
        </w:rPr>
        <w:t>(Albertazzi et al., 2018: 649)</w:t>
      </w:r>
      <w:r w:rsidRPr="00F121D3">
        <w:rPr>
          <w:rFonts w:eastAsia="Calibri"/>
        </w:rPr>
        <w:fldChar w:fldCharType="end"/>
      </w:r>
      <w:r w:rsidRPr="00F121D3">
        <w:rPr>
          <w:rFonts w:eastAsia="Calibri"/>
        </w:rPr>
        <w:t xml:space="preserve">. According to </w:t>
      </w:r>
      <w:proofErr w:type="spellStart"/>
      <w:r w:rsidRPr="00F121D3">
        <w:rPr>
          <w:rFonts w:eastAsia="Calibri"/>
        </w:rPr>
        <w:t>Bobba</w:t>
      </w:r>
      <w:proofErr w:type="spellEnd"/>
      <w:r w:rsidRPr="00F121D3">
        <w:rPr>
          <w:rFonts w:eastAsia="Calibri"/>
        </w:rPr>
        <w:t xml:space="preserve">, </w:t>
      </w:r>
      <w:proofErr w:type="spellStart"/>
      <w:r w:rsidRPr="00F121D3">
        <w:rPr>
          <w:rFonts w:eastAsia="Calibri"/>
        </w:rPr>
        <w:t>Salvini</w:t>
      </w:r>
      <w:proofErr w:type="spellEnd"/>
      <w:r w:rsidRPr="00F121D3">
        <w:rPr>
          <w:rFonts w:eastAsia="Calibri"/>
        </w:rPr>
        <w:t xml:space="preserve"> was “redefining the ideological position of the party by supporting views closer to those of populist radical right parties on issues such as nationalism (instead of regionalism), anti-Europeanism and immigration” </w:t>
      </w:r>
      <w:r w:rsidRPr="00F121D3">
        <w:rPr>
          <w:rFonts w:eastAsia="Calibri"/>
        </w:rPr>
        <w:fldChar w:fldCharType="begin" w:fldLock="1"/>
      </w:r>
      <w:r w:rsidR="00F121D3">
        <w:rPr>
          <w:rFonts w:eastAsia="Calibri"/>
        </w:rPr>
        <w:instrText>ADDIN CSL_CITATION {"citationItems":[{"id":"ITEM-1","itemData":{"ISSN":"16804333","abstract":"Social media have changed the way politicians communicate with and relate to their constituencies during election campaigns and routine periods alike. Many scholars have postulated that populists would benefit most from the new digital media. Despite their growing importance, few studies have addressed the features of online populist communication and how to assess its success. The purpose of this article is to fill this gap by providing a framework for the analysis of populist communication on social media. Taking the case of Italy’s Lega Nord (Northern League (LN)) as an example, the article will clarify which aspects of online communication are most valued by LN supporters, in relation to both the key elements of populism (references to ‘the people’, ‘elites’ and ‘others’) and the expression of an emotional style in the messages. The article analyses the controlled communication that LN and its leader, Matteo Salvini, published on their Facebook profiles during a sample period of 30 days. Our findings demonstrate that populism, emotional style and, in general, the role of the leader as a source of communication positively affect the ‘likeability’ of a message.","author":[{"dropping-particle":"","family":"Bobba","given":"Giuliano","non-dropping-particle":"","parse-names":false,"suffix":""}],"container-title":"European Political Science: EPS","id":"ITEM-1","issue":"1","issued":{"date-parts":[["2019"]]},"language":"eng","note":"Social media have changed the way politicians communicate with and relate to their constituencies during election campaigns and routine periods alike. Many scholars have postulated that populists would benefit most from the new digital media. Despite their growing importance, few studies have addressed the features of online populist communication and how to assess its success. The purpose of this article is to fill this gap by providing a framework for the analysis of populist communication on social media. Taking the case of Italy’s Lega Nord (Northern League (LN)) as an example, the article will clarify which aspects of online communication are most valued by LN supporters, in relation to both the key elements of populism (references to ‘the people’, ‘elites’ and ‘others’) and the expression of an emotional style in the messages. The article analyses the controlled communication that LN and its leader, Matteo Salvini, published on their Facebook profiles during a sample period of 30 days. Our findings demonstrate that populism, emotional style and, in general, the role of the leader as a source of communication positively affect the ‘likeability’ of a message.","page":"11-23","publisher-place":"Basingstoke","title":"Social media populism: features and ‘likeability’ of Lega Nord communication on Facebook","type":"article-journal","volume":"18"},"locator":"14","uris":["http://www.mendeley.com/documents/?uuid=5815a30a-1117-4163-bfa3-9f4e33de6212"]}],"mendeley":{"formattedCitation":"(Bobba, 2019: 14)","plainTextFormattedCitation":"(Bobba, 2019: 14)","previouslyFormattedCitation":"(Bobba, 2019: 14)"},"properties":{"noteIndex":0},"schema":"https://github.com/citation-style-language/schema/raw/master/csl-citation.json"}</w:instrText>
      </w:r>
      <w:r w:rsidRPr="00F121D3">
        <w:rPr>
          <w:rFonts w:eastAsia="Calibri"/>
        </w:rPr>
        <w:fldChar w:fldCharType="separate"/>
      </w:r>
      <w:r w:rsidR="00F121D3" w:rsidRPr="00F121D3">
        <w:rPr>
          <w:rFonts w:eastAsia="Calibri"/>
          <w:noProof/>
        </w:rPr>
        <w:t>(Bobba, 2019: 14)</w:t>
      </w:r>
      <w:r w:rsidRPr="00F121D3">
        <w:rPr>
          <w:rFonts w:eastAsia="Calibri"/>
        </w:rPr>
        <w:fldChar w:fldCharType="end"/>
      </w:r>
      <w:r w:rsidRPr="00F121D3">
        <w:rPr>
          <w:rFonts w:eastAsia="Calibri"/>
        </w:rPr>
        <w:t xml:space="preserve">. Under </w:t>
      </w:r>
      <w:proofErr w:type="spellStart"/>
      <w:r w:rsidRPr="00F121D3">
        <w:rPr>
          <w:rFonts w:eastAsia="Calibri"/>
        </w:rPr>
        <w:t>Salvini</w:t>
      </w:r>
      <w:proofErr w:type="spellEnd"/>
      <w:r w:rsidRPr="00F121D3">
        <w:rPr>
          <w:rFonts w:eastAsia="Calibri"/>
        </w:rPr>
        <w:t xml:space="preserve">, party leader from 2013, the Lega increasingly won votes across the country. The Lega’s communication relied primarily on the opportunities for permanent campaigning provided by social media, allowing </w:t>
      </w:r>
      <w:proofErr w:type="spellStart"/>
      <w:r w:rsidRPr="00F121D3">
        <w:rPr>
          <w:rFonts w:eastAsia="Calibri"/>
        </w:rPr>
        <w:t>Salvini</w:t>
      </w:r>
      <w:proofErr w:type="spellEnd"/>
      <w:r w:rsidRPr="00F121D3">
        <w:rPr>
          <w:rFonts w:eastAsia="Calibri"/>
        </w:rPr>
        <w:t xml:space="preserve"> “to completely dominate the LN’s communication” </w:t>
      </w:r>
      <w:r w:rsidRPr="00F121D3">
        <w:rPr>
          <w:rFonts w:eastAsia="Calibri"/>
        </w:rPr>
        <w:fldChar w:fldCharType="begin" w:fldLock="1"/>
      </w:r>
      <w:r w:rsidR="00F121D3">
        <w:rPr>
          <w:rFonts w:eastAsia="Calibri"/>
        </w:rPr>
        <w:instrText>ADDIN CSL_CITATION {"citationItems":[{"id":"ITEM-1","itemData":{"ISSN":"1359-7566","abstract":"ABSTRACT Whilst the Lega Nord has traditionally been defined as a regionalist populist party, since Matteo Salvini became its leader in 2013 it has undergone a process of profound ideological transformation. This article assesses this momentous change and the impact it could have on the future of the Lega, drawing on a content analysis of Salviniâs and the partyâs Facebook posts, as well as interviews with regional leaders. It argues that, under Salviniâs personal style of leadership: (a) regionalism has been replaced by an empty form of nativist nationalism, which fails to address socio-economic issues related to the NorthâSouth divide","author":[{"dropping-particle":"","family":"Albertazzi","given":"Daniele","non-dropping-particle":"","parse-names":false,"suffix":""},{"dropping-particle":"","family":"Giovannini","given":"Arianna","non-dropping-particle":"","parse-names":false,"suffix":""},{"dropping-particle":"","family":"Seddone","given":"Antonella","non-dropping-particle":"","parse-names":false,"suffix":""}],"container-title":"Regional &amp; Federal Studies","id":"ITEM-1","issue":"5","issued":{"date-parts":[["2018"]]},"language":"eng","note":"Whilst the Lega Nord has traditionally been defined as a regionalist populist party, since Matteo Salvini became its leader in 2013 it has undergone a process of profound ideological transformation. This article assesses this momentous change and the impact it could have on the future of the Lega, drawing on a content analysis of Salviniâs and the partyâs Facebook posts, as well as interviews with regional leaders. It argues that, under Salviniâs personal style of leadership: (a) regionalism has been replaced by an empty form of nativist nationalism, which fails to address socio-economic issues related to the NorthâSouth divide\n\n(b) populism remains central to the partyâs strategic communication, but the EU has taken Romeâs place as the peopleâs âenemyâ\n\n(c) this ideological shift has paid-off at the 2018 general election, but is underpinned by latent fractures between the leader and regional representatives which could have profound implications in the future.","page":"645-671","title":"'No regionalism please, we are Leghisti!' The transformation of the Italian Lega Nord under the leadership of Matteo Salvini","type":"article-journal","volume":"28"},"locator":"651","uris":["http://www.mendeley.com/documents/?uuid=a777a5d0-222f-418c-b666-b6671bd15535"]}],"mendeley":{"formattedCitation":"(Albertazzi et al., 2018: 651)","plainTextFormattedCitation":"(Albertazzi et al., 2018: 651)","previouslyFormattedCitation":"(Albertazzi et al., 2018: 651)"},"properties":{"noteIndex":0},"schema":"https://github.com/citation-style-language/schema/raw/master/csl-citation.json"}</w:instrText>
      </w:r>
      <w:r w:rsidRPr="00F121D3">
        <w:rPr>
          <w:rFonts w:eastAsia="Calibri"/>
        </w:rPr>
        <w:fldChar w:fldCharType="separate"/>
      </w:r>
      <w:r w:rsidR="00F121D3" w:rsidRPr="00F121D3">
        <w:rPr>
          <w:rFonts w:eastAsia="Calibri"/>
          <w:noProof/>
        </w:rPr>
        <w:t>(Albertazzi et al., 2018: 651)</w:t>
      </w:r>
      <w:r w:rsidRPr="00F121D3">
        <w:rPr>
          <w:rFonts w:eastAsia="Calibri"/>
        </w:rPr>
        <w:fldChar w:fldCharType="end"/>
      </w:r>
      <w:r w:rsidRPr="00F121D3">
        <w:rPr>
          <w:rFonts w:eastAsia="Calibri"/>
        </w:rPr>
        <w:t>. In the European context, members of the Lega Nord were part of the ENF group and joined the ID as founding members in 2019. In the campaign of 2019</w:t>
      </w:r>
      <w:r w:rsidR="00D72B37">
        <w:rPr>
          <w:rFonts w:eastAsia="Calibri"/>
        </w:rPr>
        <w:t>,</w:t>
      </w:r>
      <w:r w:rsidRPr="00F121D3">
        <w:rPr>
          <w:rFonts w:eastAsia="Calibri"/>
        </w:rPr>
        <w:t xml:space="preserve"> </w:t>
      </w:r>
      <w:proofErr w:type="spellStart"/>
      <w:r w:rsidRPr="00F121D3">
        <w:rPr>
          <w:rFonts w:eastAsia="Calibri"/>
        </w:rPr>
        <w:t>Salvini</w:t>
      </w:r>
      <w:proofErr w:type="spellEnd"/>
      <w:r w:rsidRPr="00F121D3">
        <w:rPr>
          <w:rFonts w:eastAsia="Calibri"/>
        </w:rPr>
        <w:t xml:space="preserve"> was extremely active in putting himself in front of an aspired anti-European coalition.</w:t>
      </w:r>
    </w:p>
    <w:p w14:paraId="400CFD9B" w14:textId="77777777" w:rsidR="00840D3A" w:rsidRPr="00F121D3" w:rsidRDefault="00840D3A" w:rsidP="00F121D3">
      <w:pPr>
        <w:jc w:val="both"/>
      </w:pPr>
    </w:p>
    <w:p w14:paraId="4D6A0AA2" w14:textId="0ED7F483" w:rsidR="00840D3A" w:rsidRPr="00F121D3" w:rsidRDefault="00840D3A" w:rsidP="00F121D3">
      <w:pPr>
        <w:jc w:val="both"/>
      </w:pPr>
      <w:r w:rsidRPr="00F121D3">
        <w:rPr>
          <w:i/>
        </w:rPr>
        <w:t>Polish Law and Justice</w:t>
      </w:r>
      <w:r w:rsidRPr="00F121D3">
        <w:t xml:space="preserve"> party (</w:t>
      </w:r>
      <w:proofErr w:type="spellStart"/>
      <w:r w:rsidRPr="00F121D3">
        <w:t>PiS</w:t>
      </w:r>
      <w:proofErr w:type="spellEnd"/>
      <w:r w:rsidRPr="00F121D3">
        <w:t xml:space="preserve">) </w:t>
      </w:r>
      <w:r w:rsidR="00D72B37">
        <w:t>was</w:t>
      </w:r>
      <w:r w:rsidRPr="00F121D3">
        <w:t xml:space="preserve"> founded and first entered parliament in 2001 </w:t>
      </w:r>
      <w:r w:rsidRPr="00F121D3">
        <w:fldChar w:fldCharType="begin" w:fldLock="1"/>
      </w:r>
      <w:r w:rsidR="00F121D3">
        <w:instrText>ADDIN CSL_CITATION {"citationItems":[{"id":"ITEM-1","itemData":{"DOI":"10.1007/978-3-319-96758-5","ISBN":"3-319-96758-4","abstract":"This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author":[{"dropping-particle":"","family":"Stanley","given":"Ben","non-dropping-particle":"","parse-names":false,"suffix":""},{"dropping-particle":"","family":"Czesnik","given":"Mikolaj","non-dropping-particle":"","parse-names":false,"suffix":""}],"container-title":"Populism Around the World. A Comparative Perspective","editor":[{"dropping-particle":"","family":"Stockemer","given":"Daniel","non-dropping-particle":"","parse-names":false,"suffix":""}],"id":"ITEM-1","issued":{"date-parts":[["2019"]]},"language":"eng","note":"Introduction (D. Stockemer) -- Populism in Argentina (W. Muno) -- Parties and Voters in the Populist Market in France (G. Ivaldi) -- Liberal Anxieties, Ambivalent Citizens: Insurgent Nationalism and Promise of Redemption in Rodrigo Duterteâs Philippines (A. Webb, N. Curato) -- Populism in Contemporary Poland (B. Stanley, M. CzeÅnik) -- Populism in Turkey (S. Erdem AytaÃ§, E. ElÃ§i) -- Populism in the United States of America (M. Green. J. K. White) -- Conclusion (D. Stockemer).\n\nThis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globe.\n\nedited by Daniel Stockemer.\n\n\n\nOnline Zugriff nur im Campusnetz der Freien UniversitÃ¤t und der CharitÃ©","page":"67-87","publisher":"Springer International Publishing","publisher-place":"Cham","title":"Populism in Poland","type":"chapter"},"locator":"72","uris":["http://www.mendeley.com/documents/?uuid=46f6a2c5-28d6-4d75-bf35-a656b02d9eb2"]}],"mendeley":{"formattedCitation":"(Stanley and Czesnik, 2019: 72)","plainTextFormattedCitation":"(Stanley and Czesnik, 2019: 72)","previouslyFormattedCitation":"(Stanley and Czesnik, 2019: 72)"},"properties":{"noteIndex":0},"schema":"https://github.com/citation-style-language/schema/raw/master/csl-citation.json"}</w:instrText>
      </w:r>
      <w:r w:rsidRPr="00F121D3">
        <w:fldChar w:fldCharType="separate"/>
      </w:r>
      <w:r w:rsidR="00F121D3" w:rsidRPr="00F121D3">
        <w:rPr>
          <w:noProof/>
        </w:rPr>
        <w:t>(Stanley and Czesnik, 2019: 72)</w:t>
      </w:r>
      <w:r w:rsidRPr="00F121D3">
        <w:fldChar w:fldCharType="end"/>
      </w:r>
      <w:r w:rsidRPr="00F121D3">
        <w:t xml:space="preserve">.  It emerged as an opposition party against the political liberalism of the first post-communist decade, advocating a “revival of traditional values” and “a strong state”, with which the party positioned itself firmly on the political right </w:t>
      </w:r>
      <w:r w:rsidRPr="00F121D3">
        <w:fldChar w:fldCharType="begin" w:fldLock="1"/>
      </w:r>
      <w:r w:rsidR="00F121D3">
        <w:instrText>ADDIN CSL_CITATION {"citationItems":[{"id":"ITEM-1","itemData":{"DOI":"DOI: 10.1017/S0147547917000345","ISSN":"0147-5479","abstract":"How has the Law and Justice Party in Poland (PiS) been able to get significant labor support to introduce far-right policies that undermine pluralist democracy? We look at PiS in the context of the “left fascist” traditions of the past, when redistributionist policies won wide support among workers who were accepted as part of the favored “nation.” Labor support breaks down along three lines, with industrial labor most closely aligned with PiS, white-collar labor (in education and health) mostly opposed, and the marginalized small-city precariat being mobilized by PiS, but also finding a place in explicitly fascist parties further to the Right. Left alternatives, weakened due to the collapse of class discourse, are slowly reemerging, but the Right will likely command most labor support for the near future.","author":[{"dropping-particle":"","family":"Ost","given":"David","non-dropping-particle":"","parse-names":false,"suffix":""}],"container-title":"International Labor and Working-Class History","edition":"2018/05/03","id":"ITEM-1","issued":{"date-parts":[["2018"]]},"page":"113-124","publisher":"Cambridge University Press","title":"Workers and the Radical Right in Poland","type":"article-journal","volume":"93"},"locator":"114","uris":["http://www.mendeley.com/documents/?uuid=570a8107-3278-4f3f-b014-49d32e7bd80a"]}],"mendeley":{"formattedCitation":"(Ost, 2018: 114)","plainTextFormattedCitation":"(Ost, 2018: 114)","previouslyFormattedCitation":"(Ost, 2018: 114)"},"properties":{"noteIndex":0},"schema":"https://github.com/citation-style-language/schema/raw/master/csl-citation.json"}</w:instrText>
      </w:r>
      <w:r w:rsidRPr="00F121D3">
        <w:fldChar w:fldCharType="separate"/>
      </w:r>
      <w:r w:rsidR="00F121D3" w:rsidRPr="00F121D3">
        <w:rPr>
          <w:noProof/>
        </w:rPr>
        <w:t>(Ost, 2018: 114)</w:t>
      </w:r>
      <w:r w:rsidRPr="00F121D3">
        <w:fldChar w:fldCharType="end"/>
      </w:r>
      <w:r w:rsidRPr="00F121D3">
        <w:t>. Given the country’s trans</w:t>
      </w:r>
      <w:r w:rsidR="00910FC4" w:rsidRPr="00F121D3">
        <w:t xml:space="preserve">ition background, </w:t>
      </w:r>
      <w:proofErr w:type="spellStart"/>
      <w:r w:rsidR="00910FC4" w:rsidRPr="00F121D3">
        <w:t>Krzyżanowska</w:t>
      </w:r>
      <w:proofErr w:type="spellEnd"/>
      <w:r w:rsidR="00910FC4" w:rsidRPr="00F121D3">
        <w:t xml:space="preserve"> and</w:t>
      </w:r>
      <w:r w:rsidRPr="00F121D3">
        <w:t xml:space="preserve"> </w:t>
      </w:r>
      <w:proofErr w:type="spellStart"/>
      <w:r w:rsidRPr="00F121D3">
        <w:t>Krzyżanowski</w:t>
      </w:r>
      <w:proofErr w:type="spellEnd"/>
      <w:r w:rsidRPr="00F121D3">
        <w:t xml:space="preserve"> highlight that “the views and ideologies existing in Polish society often cannot be classified as, say ‘liberal’ or ‘conservative’”</w:t>
      </w:r>
      <w:r w:rsidR="0029056E" w:rsidRPr="00F121D3">
        <w:t xml:space="preserve"> </w:t>
      </w:r>
      <w:r w:rsidR="0029056E" w:rsidRPr="00F121D3">
        <w:fldChar w:fldCharType="begin" w:fldLock="1"/>
      </w:r>
      <w:r w:rsidR="00F121D3">
        <w:instrText>ADDIN CSL_CITATION {"citationItems":[{"id":"ITEM-1","itemData":{"ISSN":"0038-0385","abstract":"This essay illustrates the extent to which crisis has had an impact on public perceptions and discourses of contemporary migration in Poland. We focus on the actual moment of the ‘coming together’ between crisis- and immigration-related discourses and argue that this connection has arisen as part of the recent political strategies of Poland’s right-wing populist government ‘Law and Justice’ (PiS) party. The strong anti-immigration and anti-refugee rhetoric orchestrated by PiS across the Polish public sphere has also played a pivotal role in countenancing xenophobic as well as outright racist sentiments in wider Polish public discourse and society.","author":[{"dropping-particle":"","family":"Krzyżanowska","given":"Natalia","non-dropping-particle":"","parse-names":false,"suffix":""},{"dropping-particle":"","family":"Krzyżanowski","given":"Michał","non-dropping-particle":"","parse-names":false,"suffix":""}],"container-title":"Sociology","editor":[{"dropping-particle":"","family":"Dines","given":"Nick","non-dropping-particle":"","parse-names":false,"suffix":""},{"dropping-particle":"","family":"Montagna","given":"Nicola","non-dropping-particle":"","parse-names":false,"suffix":""},{"dropping-particle":"","family":"Vacchelli","given":"Elena","non-dropping-particle":"","parse-names":false,"suffix":""}],"id":"ITEM-1","issue":"3","issued":{"date-parts":[["2018"]]},"language":"eng","note":"This essay illustrates the extent to which crisis has had an impact on public perceptions and discourses of contemporary migration in Poland. We focus on the actual moment of the ‘coming together’ between crisis- and immigration-related discourses and argue that this connection has arisen as part of the recent political strategies of Poland’s right-wing populist government ‘Law and Justice’ (PiS) party. The strong anti-immigration and anti-refugee rhetoric orchestrated by PiS across the Polish public sphere has also played a pivotal role in countenancing xenophobic as well as outright racist sentiments in wider Polish public discourse and society.","page":"612-618","publisher-place":"London, England","title":"‘Crisis’ and Migration in Poland: Discursive Shifts, Anti-Pluralism and the Politicisation of Exclusion","type":"article-journal","volume":"52"},"uris":["http://www.mendeley.com/documents/?uuid=7b10fa9d-ccc0-459c-8df1-0832424107ce"]}],"mendeley":{"formattedCitation":"(Krzyżanowska and Krzyżanowski, 2018)","plainTextFormattedCitation":"(Krzyżanowska and Krzyżanowski, 2018)","previouslyFormattedCitation":"(Krzyżanowska and Krzyżanowski, 2018)"},"properties":{"noteIndex":0},"schema":"https://github.com/citation-style-language/schema/raw/master/csl-citation.json"}</w:instrText>
      </w:r>
      <w:r w:rsidR="0029056E" w:rsidRPr="00F121D3">
        <w:fldChar w:fldCharType="separate"/>
      </w:r>
      <w:r w:rsidR="00F121D3" w:rsidRPr="00F121D3">
        <w:rPr>
          <w:noProof/>
        </w:rPr>
        <w:t>(Krzyżanowska and Krzyżanowski, 2018)</w:t>
      </w:r>
      <w:r w:rsidR="0029056E" w:rsidRPr="00F121D3">
        <w:fldChar w:fldCharType="end"/>
      </w:r>
      <w:r w:rsidRPr="00F121D3">
        <w:t xml:space="preserve">, but that the parties articulate hybrid political positions. In the case of the </w:t>
      </w:r>
      <w:proofErr w:type="spellStart"/>
      <w:r w:rsidRPr="00F121D3">
        <w:t>PiS</w:t>
      </w:r>
      <w:proofErr w:type="spellEnd"/>
      <w:r w:rsidRPr="00F121D3">
        <w:t xml:space="preserve"> government, they are characterized as fostering “neoliberal and/or anti-pluralist agendas”</w:t>
      </w:r>
      <w:r w:rsidR="001941B1">
        <w:t xml:space="preserve"> </w:t>
      </w:r>
      <w:r w:rsidR="0063182C" w:rsidRPr="00F121D3">
        <w:fldChar w:fldCharType="begin" w:fldLock="1"/>
      </w:r>
      <w:r w:rsidR="00F121D3">
        <w:instrText>ADDIN CSL_CITATION {"citationItems":[{"id":"ITEM-1","itemData":{"ISSN":"0038-0385","abstract":"This essay illustrates the extent to which crisis has had an impact on public perceptions and discourses of contemporary migration in Poland. We focus on the actual moment of the ‘coming together’ between crisis- and immigration-related discourses and argue that this connection has arisen as part of the recent political strategies of Poland’s right-wing populist government ‘Law and Justice’ (PiS) party. The strong anti-immigration and anti-refugee rhetoric orchestrated by PiS across the Polish public sphere has also played a pivotal role in countenancing xenophobic as well as outright racist sentiments in wider Polish public discourse and society.","author":[{"dropping-particle":"","family":"Krzyżanowska","given":"Natalia","non-dropping-particle":"","parse-names":false,"suffix":""},{"dropping-particle":"","family":"Krzyżanowski","given":"Michał","non-dropping-particle":"","parse-names":false,"suffix":""}],"container-title":"Sociology","editor":[{"dropping-particle":"","family":"Dines","given":"Nick","non-dropping-particle":"","parse-names":false,"suffix":""},{"dropping-particle":"","family":"Montagna","given":"Nicola","non-dropping-particle":"","parse-names":false,"suffix":""},{"dropping-particle":"","family":"Vacchelli","given":"Elena","non-dropping-particle":"","parse-names":false,"suffix":""}],"id":"ITEM-1","issue":"3","issued":{"date-parts":[["2018"]]},"language":"eng","note":"This essay illustrates the extent to which crisis has had an impact on public perceptions and discourses of contemporary migration in Poland. We focus on the actual moment of the ‘coming together’ between crisis- and immigration-related discourses and argue that this connection has arisen as part of the recent political strategies of Poland’s right-wing populist government ‘Law and Justice’ (PiS) party. The strong anti-immigration and anti-refugee rhetoric orchestrated by PiS across the Polish public sphere has also played a pivotal role in countenancing xenophobic as well as outright racist sentiments in wider Polish public discourse and society.","page":"612-618","publisher-place":"London, England","title":"‘Crisis’ and Migration in Poland: Discursive Shifts, Anti-Pluralism and the Politicisation of Exclusion","type":"article-journal","volume":"52"},"uris":["http://www.mendeley.com/documents/?uuid=7b10fa9d-ccc0-459c-8df1-0832424107ce"]}],"mendeley":{"formattedCitation":"(Krzyżanowska and Krzyżanowski, 2018)","plainTextFormattedCitation":"(Krzyżanowska and Krzyżanowski, 2018)","previouslyFormattedCitation":"(Krzyżanowska and Krzyżanowski, 2018)"},"properties":{"noteIndex":0},"schema":"https://github.com/citation-style-language/schema/raw/master/csl-citation.json"}</w:instrText>
      </w:r>
      <w:r w:rsidR="0063182C" w:rsidRPr="00F121D3">
        <w:fldChar w:fldCharType="separate"/>
      </w:r>
      <w:r w:rsidR="00F121D3" w:rsidRPr="00F121D3">
        <w:rPr>
          <w:noProof/>
        </w:rPr>
        <w:t>(Krzyżanowska and Krzyżanowski, 2018)</w:t>
      </w:r>
      <w:r w:rsidR="0063182C" w:rsidRPr="00F121D3">
        <w:fldChar w:fldCharType="end"/>
      </w:r>
      <w:r w:rsidRPr="00F121D3">
        <w:t>. The so-</w:t>
      </w:r>
      <w:r w:rsidRPr="00F121D3">
        <w:lastRenderedPageBreak/>
        <w:t>called ‘refugee crisis’ entailed a radicalization of exclusionary views</w:t>
      </w:r>
      <w:r w:rsidR="00D72B37">
        <w:t>;</w:t>
      </w:r>
      <w:r w:rsidR="00D72B37" w:rsidRPr="00F121D3">
        <w:t xml:space="preserve"> </w:t>
      </w:r>
      <w:proofErr w:type="spellStart"/>
      <w:r w:rsidRPr="00F121D3">
        <w:t>PiS</w:t>
      </w:r>
      <w:proofErr w:type="spellEnd"/>
      <w:r w:rsidRPr="00F121D3">
        <w:t xml:space="preserve"> was pushing an “anti-immigration agenda in Poland [...]”</w:t>
      </w:r>
      <w:r w:rsidR="0029056E" w:rsidRPr="00F121D3">
        <w:fldChar w:fldCharType="begin" w:fldLock="1"/>
      </w:r>
      <w:r w:rsidR="00F121D3">
        <w:instrText>ADDIN CSL_CITATION {"citationItems":[{"id":"ITEM-1","itemData":{"ISSN":"0038-0385","abstract":"This essay illustrates the extent to which crisis has had an impact on public perceptions and discourses of contemporary migration in Poland. We focus on the actual moment of the ‘coming together’ between crisis- and immigration-related discourses and argue that this connection has arisen as part of the recent political strategies of Poland’s right-wing populist government ‘Law and Justice’ (PiS) party. The strong anti-immigration and anti-refugee rhetoric orchestrated by PiS across the Polish public sphere has also played a pivotal role in countenancing xenophobic as well as outright racist sentiments in wider Polish public discourse and society.","author":[{"dropping-particle":"","family":"Krzyżanowska","given":"Natalia","non-dropping-particle":"","parse-names":false,"suffix":""},{"dropping-particle":"","family":"Krzyżanowski","given":"Michał","non-dropping-particle":"","parse-names":false,"suffix":""}],"container-title":"Sociology","editor":[{"dropping-particle":"","family":"Dines","given":"Nick","non-dropping-particle":"","parse-names":false,"suffix":""},{"dropping-particle":"","family":"Montagna","given":"Nicola","non-dropping-particle":"","parse-names":false,"suffix":""},{"dropping-particle":"","family":"Vacchelli","given":"Elena","non-dropping-particle":"","parse-names":false,"suffix":""}],"id":"ITEM-1","issue":"3","issued":{"date-parts":[["2018"]]},"language":"eng","note":"This essay illustrates the extent to which crisis has had an impact on public perceptions and discourses of contemporary migration in Poland. We focus on the actual moment of the ‘coming together’ between crisis- and immigration-related discourses and argue that this connection has arisen as part of the recent political strategies of Poland’s right-wing populist government ‘Law and Justice’ (PiS) party. The strong anti-immigration and anti-refugee rhetoric orchestrated by PiS across the Polish public sphere has also played a pivotal role in countenancing xenophobic as well as outright racist sentiments in wider Polish public discourse and society.","page":"612-618","publisher-place":"London, England","title":"‘Crisis’ and Migration in Poland: Discursive Shifts, Anti-Pluralism and the Politicisation of Exclusion","type":"article-journal","volume":"52"},"uris":["http://www.mendeley.com/documents/?uuid=7b10fa9d-ccc0-459c-8df1-0832424107ce"]}],"mendeley":{"formattedCitation":"(Krzyżanowska and Krzyżanowski, 2018)","plainTextFormattedCitation":"(Krzyżanowska and Krzyżanowski, 2018)","previouslyFormattedCitation":"(Krzyżanowska and Krzyżanowski, 2018)"},"properties":{"noteIndex":0},"schema":"https://github.com/citation-style-language/schema/raw/master/csl-citation.json"}</w:instrText>
      </w:r>
      <w:r w:rsidR="0029056E" w:rsidRPr="00F121D3">
        <w:fldChar w:fldCharType="separate"/>
      </w:r>
      <w:r w:rsidR="00F121D3" w:rsidRPr="00F121D3">
        <w:rPr>
          <w:noProof/>
        </w:rPr>
        <w:t>(Krzyżanowska and Krzyżanowski, 2018)</w:t>
      </w:r>
      <w:r w:rsidR="0029056E" w:rsidRPr="00F121D3">
        <w:fldChar w:fldCharType="end"/>
      </w:r>
      <w:r w:rsidRPr="00F121D3">
        <w:t xml:space="preserve">. According to Stanley &amp; </w:t>
      </w:r>
      <w:proofErr w:type="spellStart"/>
      <w:r w:rsidRPr="00F121D3">
        <w:t>Czesnik</w:t>
      </w:r>
      <w:proofErr w:type="spellEnd"/>
      <w:r w:rsidRPr="00F121D3">
        <w:t xml:space="preserve">, </w:t>
      </w:r>
      <w:proofErr w:type="spellStart"/>
      <w:r w:rsidRPr="00F121D3">
        <w:t>PiS</w:t>
      </w:r>
      <w:proofErr w:type="spellEnd"/>
      <w:r w:rsidRPr="00F121D3">
        <w:t xml:space="preserve"> has transformed from a moderate conservative party to a populist radical right movement since its reach and alliances extend conventional party politics </w:t>
      </w:r>
      <w:r w:rsidRPr="00F121D3">
        <w:fldChar w:fldCharType="begin" w:fldLock="1"/>
      </w:r>
      <w:r w:rsidR="00F121D3">
        <w:instrText>ADDIN CSL_CITATION {"citationItems":[{"id":"ITEM-1","itemData":{"DOI":"10.1007/978-3-319-96758-5","ISBN":"3-319-96758-4","abstract":"This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author":[{"dropping-particle":"","family":"Stanley","given":"Ben","non-dropping-particle":"","parse-names":false,"suffix":""},{"dropping-particle":"","family":"Czesnik","given":"Mikolaj","non-dropping-particle":"","parse-names":false,"suffix":""}],"container-title":"Populism Around the World. A Comparative Perspective","editor":[{"dropping-particle":"","family":"Stockemer","given":"Daniel","non-dropping-particle":"","parse-names":false,"suffix":""}],"id":"ITEM-1","issued":{"date-parts":[["2019"]]},"language":"eng","note":"Introduction (D. Stockemer) -- Populism in Argentina (W. Muno) -- Parties and Voters in the Populist Market in France (G. Ivaldi) -- Liberal Anxieties, Ambivalent Citizens: Insurgent Nationalism and Promise of Redemption in Rodrigo Duterteâs Philippines (A. Webb, N. Curato) -- Populism in Contemporary Poland (B. Stanley, M. CzeÅnik) -- Populism in Turkey (S. Erdem AytaÃ§, E. ElÃ§i) -- Populism in the United States of America (M. Green. J. K. White) -- Conclusion (D. Stockemer).\n\nThis book provides a global overview of populist actors and strategies around the globe from a comparative perspective. By presenting six country studies on the United States, France, Poland, Turkey, the Philippines and Argentina, the contributors analyze how parties from both the radical left and right use a populist discourse combining people-centrism, anti-elitism, and the exclusion of certain population cohorts from the national community. They illustrate how populist actors mobilize and persuade citizens by using simple and slogan-based language and charismatic leadership while offering simple solutions to complex problems. Each case study describes the history of populism in the respective country, current populist actors, the strategies these parties and movements employ, and how successful these tactics are within the population. These case studies are embedded within two theoretical chapters that link the cases to the theoretical and empirical literature on populism. This timely book will appeal to anyone interested in understanding the current enormous appeal of populist movements around the globe.\n\nedited by Daniel Stockemer.\n\n\n\nOnline Zugriff nur im Campusnetz der Freien UniversitÃ¤t und der CharitÃ©","page":"67-87","publisher":"Springer International Publishing","publisher-place":"Cham","title":"Populism in Poland","type":"chapter"},"locator":"85","uris":["http://www.mendeley.com/documents/?uuid=46f6a2c5-28d6-4d75-bf35-a656b02d9eb2"]}],"mendeley":{"formattedCitation":"(Stanley and Czesnik, 2019: 85)","plainTextFormattedCitation":"(Stanley and Czesnik, 2019: 85)","previouslyFormattedCitation":"(Stanley and Czesnik, 2019: 85)"},"properties":{"noteIndex":0},"schema":"https://github.com/citation-style-language/schema/raw/master/csl-citation.json"}</w:instrText>
      </w:r>
      <w:r w:rsidRPr="00F121D3">
        <w:fldChar w:fldCharType="separate"/>
      </w:r>
      <w:r w:rsidR="00F121D3" w:rsidRPr="00F121D3">
        <w:rPr>
          <w:noProof/>
        </w:rPr>
        <w:t>(Stanley and Czesnik, 2019: 85)</w:t>
      </w:r>
      <w:r w:rsidRPr="00F121D3">
        <w:fldChar w:fldCharType="end"/>
      </w:r>
      <w:r w:rsidRPr="00F121D3">
        <w:t xml:space="preserve">. In the European parliament, </w:t>
      </w:r>
      <w:proofErr w:type="spellStart"/>
      <w:r w:rsidRPr="00F121D3">
        <w:t>PiS</w:t>
      </w:r>
      <w:proofErr w:type="spellEnd"/>
      <w:r w:rsidRPr="00F121D3">
        <w:t xml:space="preserve"> was one of the founding parties of the ECR Group in 2009. </w:t>
      </w:r>
      <w:proofErr w:type="spellStart"/>
      <w:r w:rsidRPr="00F121D3">
        <w:t>PiS</w:t>
      </w:r>
      <w:proofErr w:type="spellEnd"/>
      <w:r w:rsidRPr="00F121D3">
        <w:t xml:space="preserve"> reached a share of 45 percent of votes in the 2019 European Election and contributes with 26 seats to the ECR group. </w:t>
      </w:r>
    </w:p>
    <w:p w14:paraId="7826D532" w14:textId="77777777" w:rsidR="00840D3A" w:rsidRPr="00F121D3" w:rsidRDefault="00840D3A" w:rsidP="00F121D3">
      <w:pPr>
        <w:jc w:val="both"/>
      </w:pPr>
    </w:p>
    <w:p w14:paraId="1138DFD7" w14:textId="23AE402F" w:rsidR="00840D3A" w:rsidRPr="00F121D3" w:rsidRDefault="00840D3A" w:rsidP="00F121D3">
      <w:pPr>
        <w:jc w:val="both"/>
        <w:rPr>
          <w:noProof/>
        </w:rPr>
      </w:pPr>
      <w:r w:rsidRPr="00F121D3">
        <w:t xml:space="preserve">The </w:t>
      </w:r>
      <w:r w:rsidRPr="00F121D3">
        <w:rPr>
          <w:i/>
        </w:rPr>
        <w:t>Sweden Democrats</w:t>
      </w:r>
      <w:r w:rsidRPr="00F121D3">
        <w:t xml:space="preserve"> (SD), which formed as a spin-off from the right-wing party Keep Sweden Swedish in 1987 and positioned itself on the extreme right, had limited electoral success in their early years </w:t>
      </w:r>
      <w:r w:rsidRPr="00F121D3">
        <w:fldChar w:fldCharType="begin" w:fldLock="1"/>
      </w:r>
      <w:r w:rsidR="00F121D3">
        <w:instrText>ADDIN CSL_CITATION {"citationItems":[{"id":"ITEM-1","itemData":{"DOI":"10.1080/00344890802237031","ISSN":"17494001","abstract":"Despite indications of potential demand, no populist right party has yet broken through in Sweden. This article examines the biggest Swedish populist right party, Sverigedemokraterna [Sweden Democrats], which in 2006 came close to parliamentary representation. Originating from an extremist subculture, the party has been forced through a process of change to broaden its appeal. The article traces the party's background and history, and looks at the changes that have taken place to remove the extremist stigma. [ABSTRACT FROM AUTHOR] Copyright of Representation is the property of Routledge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Abstracts.)","author":[{"dropping-particle":"","family":"Widfeldt","given":"Anders","non-dropping-particle":"","parse-names":false,"suffix":""}],"container-title":"Representation","id":"ITEM-1","issue":"3","issued":{"date-parts":[["2008"]]},"page":"265-276","title":"Party change as a necessity – The case of the Sweden democrats","type":"article-journal","volume":"44"},"locator":"267-269","uris":["http://www.mendeley.com/documents/?uuid=82530be2-9918-4bc0-b9a5-77d91e91eb2b"]}],"mendeley":{"formattedCitation":"(Widfeldt, 2008: 267–269)","plainTextFormattedCitation":"(Widfeldt, 2008: 267–269)","previouslyFormattedCitation":"(Widfeldt, 2008: 267–269)"},"properties":{"noteIndex":0},"schema":"https://github.com/citation-style-language/schema/raw/master/csl-citation.json"}</w:instrText>
      </w:r>
      <w:r w:rsidRPr="00F121D3">
        <w:fldChar w:fldCharType="separate"/>
      </w:r>
      <w:r w:rsidR="00F121D3" w:rsidRPr="00F121D3">
        <w:rPr>
          <w:noProof/>
        </w:rPr>
        <w:t>(Widfeldt, 2008: 267–269)</w:t>
      </w:r>
      <w:r w:rsidRPr="00F121D3">
        <w:fldChar w:fldCharType="end"/>
      </w:r>
      <w:r w:rsidRPr="00F121D3">
        <w:t xml:space="preserve">. After another party split-off, which resulted in the founding of the more extreme </w:t>
      </w:r>
      <w:proofErr w:type="spellStart"/>
      <w:r w:rsidRPr="00F121D3">
        <w:t>Nationaldemokraterna</w:t>
      </w:r>
      <w:proofErr w:type="spellEnd"/>
      <w:r w:rsidRPr="00F121D3">
        <w:t xml:space="preserve"> </w:t>
      </w:r>
      <w:r w:rsidRPr="00F121D3">
        <w:fldChar w:fldCharType="begin" w:fldLock="1"/>
      </w:r>
      <w:r w:rsidR="00F121D3">
        <w:instrText>ADDIN CSL_CITATION {"citationItems":[{"id":"ITEM-1","itemData":{"DOI":"10.1080/00344890802237031","ISSN":"17494001","abstract":"Despite indications of potential demand, no populist right party has yet broken through in Sweden. This article examines the biggest Swedish populist right party, Sverigedemokraterna [Sweden Democrats], which in 2006 came close to parliamentary representation. Originating from an extremist subculture, the party has been forced through a process of change to broaden its appeal. The article traces the party's background and history, and looks at the changes that have taken place to remove the extremist stigma. [ABSTRACT FROM AUTHOR] Copyright of Representation is the property of Routledge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Abstracts.)","author":[{"dropping-particle":"","family":"Widfeldt","given":"Anders","non-dropping-particle":"","parse-names":false,"suffix":""}],"container-title":"Representation","id":"ITEM-1","issue":"3","issued":{"date-parts":[["2008"]]},"page":"265-276","title":"Party change as a necessity – The case of the Sweden democrats","type":"article-journal","volume":"44"},"locator":"270","uris":["http://www.mendeley.com/documents/?uuid=82530be2-9918-4bc0-b9a5-77d91e91eb2b"]}],"mendeley":{"formattedCitation":"(Widfeldt, 2008: 270)","plainTextFormattedCitation":"(Widfeldt, 2008: 270)","previouslyFormattedCitation":"(Widfeldt, 2008: 270)"},"properties":{"noteIndex":0},"schema":"https://github.com/citation-style-language/schema/raw/master/csl-citation.json"}</w:instrText>
      </w:r>
      <w:r w:rsidRPr="00F121D3">
        <w:fldChar w:fldCharType="separate"/>
      </w:r>
      <w:r w:rsidR="00F121D3" w:rsidRPr="00F121D3">
        <w:rPr>
          <w:noProof/>
        </w:rPr>
        <w:t>(Widfeldt, 2008: 270)</w:t>
      </w:r>
      <w:r w:rsidRPr="00F121D3">
        <w:fldChar w:fldCharType="end"/>
      </w:r>
      <w:r w:rsidRPr="00F121D3">
        <w:t xml:space="preserve">, party reforms gave the SD a softer image. The party had its “electoral breakthrough” </w:t>
      </w:r>
      <w:r w:rsidRPr="00F121D3">
        <w:fldChar w:fldCharType="begin" w:fldLock="1"/>
      </w:r>
      <w:r w:rsidR="00F121D3">
        <w:instrText>ADDIN CSL_CITATION {"citationItems":[{"id":"ITEM-1","itemData":{"DOI":"10.1111/j.1477-7053.2011.01357.x","ISSN":"0017-257X","abstract":"In the 2010 Swedish general elections the nationalist party Sverigedemokraterna (SD) crossed the threshold and entered parliament. The other parties in parliament reacted with strong antagonism; the mainstreaming of the ‘radical right’ had finally come to Sweden. This article analyses the media coverage of the SD following the 2006 elections, when it emerged as a high-profile party in the public arena. The presence of the SD in Swedish politics encourages both SD allies and opponents to emphasize their views on what constitutes social cohesion in Sweden. We see the public debate surrounding the SD as a rhetorical struggle between different nationalist claims.","author":[{"dropping-particle":"","family":"Hellström","given":"Anders","non-dropping-particle":"","parse-names":false,"suffix":""},{"dropping-particle":"","family":"Nilsson","given":"Tom","non-dropping-particle":"","parse-names":false,"suffix":""},{"dropping-particle":"","family":"Stoltz","given":"Pauline","non-dropping-particle":"","parse-names":false,"suffix":""}],"container-title":"Government and Opposition","id":"ITEM-1","issue":"2","issued":{"date-parts":[["2012"]]},"note":"In the 2010 Swedish general elections the nationalist party Sverigedemokraterna (SD) crossed the threshold and entered parliament. The other parties in parliament reacted with strong antagonism\n\nthe mainstreaming of the âradical rightâ had finally come to Sweden. This article analyses the media coverage of the SD following the 2006 elections, when it emerged as a highâprofile party in the public arena. The presence of the SD in Swedish politics encourages both SD allies and opponents to emphasize their views on what constitutes social cohesion in Sweden. We see the public debate surrounding the SD as a rhetorical struggle between different nationalist claims.","page":"186-205","publisher-place":"Oxford, UK","title":"Nationalism vs. Nationalism: The Challenge of the Sweden Democrats in the Swedish Public Debate","type":"article-journal","volume":"47"},"locator":"186","uris":["http://www.mendeley.com/documents/?uuid=6ac6f5a1-5dc7-4ec0-aadd-2a1c8d02e95b"]}],"mendeley":{"formattedCitation":"(Hellström et al., 2012: 186)","plainTextFormattedCitation":"(Hellström et al., 2012: 186)","previouslyFormattedCitation":"(Hellström et al., 2012: 186)"},"properties":{"noteIndex":0},"schema":"https://github.com/citation-style-language/schema/raw/master/csl-citation.json"}</w:instrText>
      </w:r>
      <w:r w:rsidRPr="00F121D3">
        <w:fldChar w:fldCharType="separate"/>
      </w:r>
      <w:r w:rsidR="00F121D3" w:rsidRPr="00F121D3">
        <w:rPr>
          <w:noProof/>
        </w:rPr>
        <w:t>(Hellström et al., 2012: 186)</w:t>
      </w:r>
      <w:r w:rsidRPr="00F121D3">
        <w:fldChar w:fldCharType="end"/>
      </w:r>
      <w:r w:rsidRPr="00F121D3">
        <w:t xml:space="preserve"> in 2010 with rising support afterwards </w:t>
      </w:r>
      <w:r w:rsidRPr="00F121D3">
        <w:fldChar w:fldCharType="begin" w:fldLock="1"/>
      </w:r>
      <w:r w:rsidR="00F121D3">
        <w:instrText>ADDIN CSL_CITATION {"citationItems":[{"id":"ITEM-1","itemData":{"ISSN":"0038-0342","abstract":"Sweden was long considered an ”exceptional case” with no representatives of the radical right in parliament. However, the Sweden Democrats (SD) entered parliament in the 2010 parliamentary election, pointing towards the demand for ethnic nationalism also in Sweden. This article explores the party’s rhetoric with particular references to the politics of decay and betrayal and its construction of a Swedish golden age. The rhetoric of decay echoes the ethnicity-based nationalisms articulated in other parts of Europe alongside nationalist claims of homogenous origins, a common destiny and an inherited social solidarity. The empirical material consists of political election programs since 1989 (SD 1989), high profile speeches and the party journal (SD Kuriren).","author":[{"dropping-particle":"","family":"Elgenius","given":"Gabriella","non-dropping-particle":"","parse-names":false,"suffix":""},{"dropping-particle":"","family":"Rydgren","given":"Jens","non-dropping-particle":"","parse-names":false,"suffix":""}],"container-title":"Sociologisk Forskning","id":"ITEM-1","issue":"4","issued":{"date-parts":[["2017"]]},"language":"English","note":"Sweden was long considered an âexceptional caseâ with no representatives of the radical right in parliament. However, the Sweden Democrats (SD) entered parliament in the 2010 parliamentary election, pointing towards the demand for ethnic nationalism also in Sweden. This article explores the partyâs rhetoric with particular references to the politics of decay and betrayal and its construction of a Swedish golden age. The rhetoric of decay echoes the ethnicity-based nationalisms articulated in other parts of Europe alongside nationalist claims of homogenous origins, a common destiny and an inherited social solidarity. The empirical material consists of political election programs since 1989 (SD 1989), high profile speeches and the party journal (SD Kuriren).","page":"353-358","title":"The Sweden Democrats and the ethno-nationalist rhetoric of decay and betrayal","type":"article-journal","volume":"54"},"locator":"353","uris":["http://www.mendeley.com/documents/?uuid=3f731bb0-68f3-45da-8c60-09ff80d73143"]}],"mendeley":{"formattedCitation":"(Elgenius and Rydgren, 2017: 353)","plainTextFormattedCitation":"(Elgenius and Rydgren, 2017: 353)","previouslyFormattedCitation":"(Elgenius and Rydgren, 2017: 353)"},"properties":{"noteIndex":0},"schema":"https://github.com/citation-style-language/schema/raw/master/csl-citation.json"}</w:instrText>
      </w:r>
      <w:r w:rsidRPr="00F121D3">
        <w:fldChar w:fldCharType="separate"/>
      </w:r>
      <w:r w:rsidR="00F121D3" w:rsidRPr="00F121D3">
        <w:rPr>
          <w:noProof/>
        </w:rPr>
        <w:t>(Elgenius and Rydgren, 2017: 353)</w:t>
      </w:r>
      <w:r w:rsidRPr="00F121D3">
        <w:fldChar w:fldCharType="end"/>
      </w:r>
      <w:r w:rsidRPr="00F121D3">
        <w:t xml:space="preserve">. The SD can be described as a national party which explicitly refers to the populist divide between the people and the elite to mobilize support for its politics </w:t>
      </w:r>
      <w:r w:rsidRPr="00F121D3">
        <w:fldChar w:fldCharType="begin" w:fldLock="1"/>
      </w:r>
      <w:r w:rsidR="00F121D3">
        <w:instrText>ADDIN CSL_CITATION {"citationItems":[{"id":"ITEM-1","itemData":{"DOI":"10.1111/j.1477-7053.2011.01357.x","ISSN":"0017-257X","abstract":"In the 2010 Swedish general elections the nationalist party Sverigedemokraterna (SD) crossed the threshold and entered parliament. The other parties in parliament reacted with strong antagonism; the mainstreaming of the ‘radical right’ had finally come to Sweden. This article analyses the media coverage of the SD following the 2006 elections, when it emerged as a high-profile party in the public arena. The presence of the SD in Swedish politics encourages both SD allies and opponents to emphasize their views on what constitutes social cohesion in Sweden. We see the public debate surrounding the SD as a rhetorical struggle between different nationalist claims.","author":[{"dropping-particle":"","family":"Hellström","given":"Anders","non-dropping-particle":"","parse-names":false,"suffix":""},{"dropping-particle":"","family":"Nilsson","given":"Tom","non-dropping-particle":"","parse-names":false,"suffix":""},{"dropping-particle":"","family":"Stoltz","given":"Pauline","non-dropping-particle":"","parse-names":false,"suffix":""}],"container-title":"Government and Opposition","id":"ITEM-1","issue":"2","issued":{"date-parts":[["2012"]]},"note":"In the 2010 Swedish general elections the nationalist party Sverigedemokraterna (SD) crossed the threshold and entered parliament. The other parties in parliament reacted with strong antagonism\n\nthe mainstreaming of the âradical rightâ had finally come to Sweden. This article analyses the media coverage of the SD following the 2006 elections, when it emerged as a highâprofile party in the public arena. The presence of the SD in Swedish politics encourages both SD allies and opponents to emphasize their views on what constitutes social cohesion in Sweden. We see the public debate surrounding the SD as a rhetorical struggle between different nationalist claims.","page":"186-205","publisher-place":"Oxford, UK","title":"Nationalism vs. Nationalism: The Challenge of the Sweden Democrats in the Swedish Public Debate","type":"article-journal","volume":"47"},"locator":"190","uris":["http://www.mendeley.com/documents/?uuid=6ac6f5a1-5dc7-4ec0-aadd-2a1c8d02e95b"]}],"mendeley":{"formattedCitation":"(Hellström et al., 2012: 190)","plainTextFormattedCitation":"(Hellström et al., 2012: 190)","previouslyFormattedCitation":"(Hellström et al., 2012: 190)"},"properties":{"noteIndex":0},"schema":"https://github.com/citation-style-language/schema/raw/master/csl-citation.json"}</w:instrText>
      </w:r>
      <w:r w:rsidRPr="00F121D3">
        <w:fldChar w:fldCharType="separate"/>
      </w:r>
      <w:r w:rsidR="00F121D3" w:rsidRPr="00F121D3">
        <w:rPr>
          <w:noProof/>
        </w:rPr>
        <w:t>(Hellström et al., 2012: 190)</w:t>
      </w:r>
      <w:r w:rsidRPr="00F121D3">
        <w:fldChar w:fldCharType="end"/>
      </w:r>
      <w:r w:rsidRPr="00F121D3">
        <w:t xml:space="preserve">. The SD opposes multiculturalism and they have been described as “strongly anti-EU throughout its existence” </w:t>
      </w:r>
      <w:r w:rsidRPr="00F121D3">
        <w:fldChar w:fldCharType="begin" w:fldLock="1"/>
      </w:r>
      <w:r w:rsidR="00F121D3">
        <w:instrText>ADDIN CSL_CITATION {"citationItems":[{"id":"ITEM-1","itemData":{"DOI":"10.1080/00344890802237031","ISSN":"17494001","abstract":"Despite indications of potential demand, no populist right party has yet broken through in Sweden. This article examines the biggest Swedish populist right party, Sverigedemokraterna [Sweden Democrats], which in 2006 came close to parliamentary representation. Originating from an extremist subculture, the party has been forced through a process of change to broaden its appeal. The article traces the party's background and history, and looks at the changes that have taken place to remove the extremist stigma. [ABSTRACT FROM AUTHOR] Copyright of Representation is the property of Routledge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Abstracts.)","author":[{"dropping-particle":"","family":"Widfeldt","given":"Anders","non-dropping-particle":"","parse-names":false,"suffix":""}],"container-title":"Representation","id":"ITEM-1","issue":"3","issued":{"date-parts":[["2008"]]},"page":"265-276","title":"Party change as a necessity – The case of the Sweden democrats","type":"article-journal","volume":"44"},"locator":"270","uris":["http://www.mendeley.com/documents/?uuid=82530be2-9918-4bc0-b9a5-77d91e91eb2b"]}],"mendeley":{"formattedCitation":"(Widfeldt, 2008: 270)","plainTextFormattedCitation":"(Widfeldt, 2008: 270)","previouslyFormattedCitation":"(Widfeldt, 2008: 270)"},"properties":{"noteIndex":0},"schema":"https://github.com/citation-style-language/schema/raw/master/csl-citation.json"}</w:instrText>
      </w:r>
      <w:r w:rsidRPr="00F121D3">
        <w:fldChar w:fldCharType="separate"/>
      </w:r>
      <w:r w:rsidR="00F121D3" w:rsidRPr="00F121D3">
        <w:rPr>
          <w:noProof/>
        </w:rPr>
        <w:t>(Widfeldt, 2008: 270)</w:t>
      </w:r>
      <w:r w:rsidRPr="00F121D3">
        <w:fldChar w:fldCharType="end"/>
      </w:r>
      <w:r w:rsidRPr="00F121D3">
        <w:t xml:space="preserve">. They represent a (mono)culturalist nationalism that aims at cohesion and solidarity among an in-group of “culturally similar Swedes” </w:t>
      </w:r>
      <w:r w:rsidRPr="00F121D3">
        <w:fldChar w:fldCharType="begin" w:fldLock="1"/>
      </w:r>
      <w:r w:rsidR="00F121D3">
        <w:instrText>ADDIN CSL_CITATION {"citationItems":[{"id":"ITEM-1","itemData":{"DOI":"https://doi.org/10.1177/1468796809354214","ISSN":"14687968","abstract":"This article explores the ideological positioning of Sverigedemokraterna (SD","author":[{"dropping-particle":"","family":"Hellström","given":"Anders","non-dropping-particle":"","parse-names":false,"suffix":""},{"dropping-particle":"","family":"Nilsson","given":"Tom","non-dropping-particle":"","parse-names":false,"suffix":""}],"container-title":"Ethnicities","id":"ITEM-1","issue":"1","issued":{"date-parts":[["2010"]]},"language":"eng","note":"This article explores the ideological positioning of Sverigedemokraterna (SD\n\nthe Sweden Democrats) in contemporary Swedish politics. Comparative research on nationalist parties pays very little attention to SD, despite the fact that following the general elections in 2006 it came close to consolidating a permanent position in Swedish politics. In the analysis, we highlight the recurrent rhetorical figures in the public debate as manifested in the media coverage from September 2006 to May 2007. The ideological positioning of SD evolves in the interaction between its self-image and the counter arguments adopted by SD-antagonists. Although the established parties were careful to distance themselves from SD, our analysis indicates a possible taming of SD in the run-up to the general elections in 2010. The party's monocultural nationalist messages may also become more widely accepted and still allow it to be considered as 'one of the good guys'.","page":"55-76","title":"'We Are the Good Guys': Ideological positioning of the nationalist party Sverigedemokraterna in contemporary Swedish politics","type":"article-journal","volume":"10"},"locator":"63","uris":["http://www.mendeley.com/documents/?uuid=555fb521-f195-4925-8c0e-5aea4eacb9ea"]}],"mendeley":{"formattedCitation":"(Hellström and Nilsson, 2010: 63)","plainTextFormattedCitation":"(Hellström and Nilsson, 2010: 63)","previouslyFormattedCitation":"(Hellström and Nilsson, 2010: 63)"},"properties":{"noteIndex":0},"schema":"https://github.com/citation-style-language/schema/raw/master/csl-citation.json"}</w:instrText>
      </w:r>
      <w:r w:rsidRPr="00F121D3">
        <w:fldChar w:fldCharType="separate"/>
      </w:r>
      <w:r w:rsidR="00F121D3" w:rsidRPr="00F121D3">
        <w:rPr>
          <w:noProof/>
        </w:rPr>
        <w:t>(Hellström and Nilsson, 2010: 63)</w:t>
      </w:r>
      <w:r w:rsidRPr="00F121D3">
        <w:fldChar w:fldCharType="end"/>
      </w:r>
      <w:r w:rsidRPr="00F121D3">
        <w:t xml:space="preserve">. In 2018, the SD left the EFDD joining the ECR group in the European Parliament. They gained 15 percent votes in the last EP election. </w:t>
      </w:r>
    </w:p>
    <w:p w14:paraId="4DF005F5" w14:textId="77777777" w:rsidR="00840D3A" w:rsidRPr="00F121D3" w:rsidRDefault="00840D3A" w:rsidP="00C601A6">
      <w:pPr>
        <w:jc w:val="both"/>
        <w:rPr>
          <w:rFonts w:eastAsia="Calibri"/>
          <w:b/>
        </w:rPr>
      </w:pPr>
    </w:p>
    <w:p w14:paraId="0C217374" w14:textId="77777777" w:rsidR="00CF4EBD" w:rsidRPr="00F121D3" w:rsidRDefault="00CF4EBD" w:rsidP="00C601A6">
      <w:pPr>
        <w:jc w:val="both"/>
        <w:rPr>
          <w:rFonts w:eastAsia="Calibri"/>
          <w:b/>
        </w:rPr>
      </w:pPr>
      <w:r w:rsidRPr="00F121D3">
        <w:rPr>
          <w:rFonts w:eastAsia="Calibri"/>
          <w:b/>
        </w:rPr>
        <w:t>References</w:t>
      </w:r>
    </w:p>
    <w:p w14:paraId="12F3A856" w14:textId="55409A4F" w:rsidR="00C601A6" w:rsidRPr="00C601A6" w:rsidRDefault="0063182C" w:rsidP="00C601A6">
      <w:pPr>
        <w:widowControl w:val="0"/>
        <w:autoSpaceDE w:val="0"/>
        <w:autoSpaceDN w:val="0"/>
        <w:adjustRightInd w:val="0"/>
        <w:ind w:left="480" w:hanging="480"/>
        <w:jc w:val="both"/>
        <w:rPr>
          <w:noProof/>
        </w:rPr>
      </w:pPr>
      <w:r w:rsidRPr="00F121D3">
        <w:rPr>
          <w:rFonts w:eastAsia="Calibri"/>
        </w:rPr>
        <w:fldChar w:fldCharType="begin" w:fldLock="1"/>
      </w:r>
      <w:r w:rsidRPr="00F121D3">
        <w:rPr>
          <w:rFonts w:eastAsia="Calibri"/>
        </w:rPr>
        <w:instrText xml:space="preserve">ADDIN Mendeley Bibliography CSL_BIBLIOGRAPHY </w:instrText>
      </w:r>
      <w:r w:rsidRPr="00F121D3">
        <w:rPr>
          <w:rFonts w:eastAsia="Calibri"/>
        </w:rPr>
        <w:fldChar w:fldCharType="separate"/>
      </w:r>
      <w:r w:rsidR="00C601A6" w:rsidRPr="00C601A6">
        <w:rPr>
          <w:noProof/>
        </w:rPr>
        <w:t xml:space="preserve">Albertazzi D, Giovannini A and Seddone A (2018) ‘No regionalism please, we are Leghisti!’ The transformation of the Italian Lega Nord under the leadership of Matteo Salvini. </w:t>
      </w:r>
      <w:r w:rsidR="00C601A6" w:rsidRPr="00C601A6">
        <w:rPr>
          <w:i/>
          <w:iCs/>
          <w:noProof/>
        </w:rPr>
        <w:lastRenderedPageBreak/>
        <w:t>Regional &amp; Federal Studies</w:t>
      </w:r>
      <w:r w:rsidR="00C601A6" w:rsidRPr="00C601A6">
        <w:rPr>
          <w:noProof/>
        </w:rPr>
        <w:t xml:space="preserve"> 28(5): 645–671.</w:t>
      </w:r>
    </w:p>
    <w:p w14:paraId="288D9D5F"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Arzheimer K (2015) The AfD: Finally a Successful Right-Wing Populist Eurosceptic Party for Germany? </w:t>
      </w:r>
      <w:r w:rsidRPr="00C601A6">
        <w:rPr>
          <w:i/>
          <w:iCs/>
          <w:noProof/>
        </w:rPr>
        <w:t>West European Politics</w:t>
      </w:r>
      <w:r w:rsidRPr="00C601A6">
        <w:rPr>
          <w:noProof/>
        </w:rPr>
        <w:t xml:space="preserve"> 38(3): 535–556. DOI: 10.1080/01402382.2015.1004230.</w:t>
      </w:r>
    </w:p>
    <w:p w14:paraId="5BDB0CD8"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Backes U (2018) The Radical Right in Germany, Austria, and Switzerland. In: Rydgren J (ed.) </w:t>
      </w:r>
      <w:r w:rsidRPr="00C601A6">
        <w:rPr>
          <w:i/>
          <w:iCs/>
          <w:noProof/>
        </w:rPr>
        <w:t>The Oxford Handbook of the Radical Right</w:t>
      </w:r>
      <w:r w:rsidRPr="00C601A6">
        <w:rPr>
          <w:noProof/>
        </w:rPr>
        <w:t>. Oxford: Oxford University Press, pp. 452–477. DOI: 10.1093/oxfordhb/9780190274559.013.23.</w:t>
      </w:r>
    </w:p>
    <w:p w14:paraId="7D88914F"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Bobba G (2019) Social media populism: features and ‘likeability’ of Lega Nord communication on Facebook. </w:t>
      </w:r>
      <w:r w:rsidRPr="00C601A6">
        <w:rPr>
          <w:i/>
          <w:iCs/>
          <w:noProof/>
        </w:rPr>
        <w:t>European Political Science: EPS</w:t>
      </w:r>
      <w:r w:rsidRPr="00C601A6">
        <w:rPr>
          <w:noProof/>
        </w:rPr>
        <w:t xml:space="preserve"> 18(1). Basingstoke: 11–23.</w:t>
      </w:r>
    </w:p>
    <w:p w14:paraId="7B3B718A"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Decker F (2016) The “Alternative for Germany:” Factors Behind its Emergence and Profile of a New Right-wing Populist Party. </w:t>
      </w:r>
      <w:r w:rsidRPr="00C601A6">
        <w:rPr>
          <w:i/>
          <w:iCs/>
          <w:noProof/>
        </w:rPr>
        <w:t>German Politics and Society</w:t>
      </w:r>
      <w:r w:rsidRPr="00C601A6">
        <w:rPr>
          <w:noProof/>
        </w:rPr>
        <w:t xml:space="preserve"> 34(2): 1–16. DOI: 10.3167/gps.2016.340201.</w:t>
      </w:r>
    </w:p>
    <w:p w14:paraId="327FC66D"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Elgenius G and Rydgren J (2017) The Sweden Democrats and the ethno-nationalist rhetoric of decay and betrayal. </w:t>
      </w:r>
      <w:r w:rsidRPr="00C601A6">
        <w:rPr>
          <w:i/>
          <w:iCs/>
          <w:noProof/>
        </w:rPr>
        <w:t>Sociologisk Forskning</w:t>
      </w:r>
      <w:r w:rsidRPr="00C601A6">
        <w:rPr>
          <w:noProof/>
        </w:rPr>
        <w:t xml:space="preserve"> 54(4): 353–358.</w:t>
      </w:r>
    </w:p>
    <w:p w14:paraId="6AEC10D9"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Halla M, Wagner AF and Zweimüller J (2017) Immigration and Voting for the Far Right. </w:t>
      </w:r>
      <w:r w:rsidRPr="00C601A6">
        <w:rPr>
          <w:i/>
          <w:iCs/>
          <w:noProof/>
        </w:rPr>
        <w:t>Journal of the European Economic Association</w:t>
      </w:r>
      <w:r w:rsidRPr="00C601A6">
        <w:rPr>
          <w:noProof/>
        </w:rPr>
        <w:t xml:space="preserve"> 15(6): 1341–1385.</w:t>
      </w:r>
    </w:p>
    <w:p w14:paraId="7D4F3915"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Heinisch RC (2008) Austria: the structure and agency of Austrian populism. In: Albertazzi D and McDonnell D (eds) </w:t>
      </w:r>
      <w:r w:rsidRPr="00C601A6">
        <w:rPr>
          <w:i/>
          <w:iCs/>
          <w:noProof/>
        </w:rPr>
        <w:t>Twenty-First Century Populism : The Spectre of Western European Democracy</w:t>
      </w:r>
      <w:r w:rsidRPr="00C601A6">
        <w:rPr>
          <w:noProof/>
        </w:rPr>
        <w:t>. 1. publ. New York [u.a.]: Palgrave Macmillan, pp. 67–83.</w:t>
      </w:r>
    </w:p>
    <w:p w14:paraId="634DDC54"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Hellström A and Nilsson T (2010) ‘We Are the Good Guys’: Ideological positioning of the nationalist party Sverigedemokraterna in contemporary Swedish politics. </w:t>
      </w:r>
      <w:r w:rsidRPr="00C601A6">
        <w:rPr>
          <w:i/>
          <w:iCs/>
          <w:noProof/>
        </w:rPr>
        <w:t>Ethnicities</w:t>
      </w:r>
      <w:r w:rsidRPr="00C601A6">
        <w:rPr>
          <w:noProof/>
        </w:rPr>
        <w:t xml:space="preserve"> 10(1): 55–76. DOI: https://doi.org/10.1177/1468796809354214.</w:t>
      </w:r>
    </w:p>
    <w:p w14:paraId="3D0A6C8A"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Hellström A, Nilsson T and Stoltz P (2012) Nationalism vs. Nationalism: The Challenge of the Sweden Democrats in the Swedish Public Debate. </w:t>
      </w:r>
      <w:r w:rsidRPr="00C601A6">
        <w:rPr>
          <w:i/>
          <w:iCs/>
          <w:noProof/>
        </w:rPr>
        <w:t>Government and Opposition</w:t>
      </w:r>
      <w:r w:rsidRPr="00C601A6">
        <w:rPr>
          <w:noProof/>
        </w:rPr>
        <w:t xml:space="preserve"> 47(2). Oxford, UK: 186–205. DOI: 10.1111/j.1477-7053.2011.01357.x.</w:t>
      </w:r>
    </w:p>
    <w:p w14:paraId="53F2C4CC" w14:textId="77777777" w:rsidR="00C601A6" w:rsidRPr="00C601A6" w:rsidRDefault="00C601A6" w:rsidP="00C601A6">
      <w:pPr>
        <w:widowControl w:val="0"/>
        <w:autoSpaceDE w:val="0"/>
        <w:autoSpaceDN w:val="0"/>
        <w:adjustRightInd w:val="0"/>
        <w:ind w:left="480" w:hanging="480"/>
        <w:jc w:val="both"/>
        <w:rPr>
          <w:noProof/>
        </w:rPr>
      </w:pPr>
      <w:r w:rsidRPr="00C601A6">
        <w:rPr>
          <w:noProof/>
        </w:rPr>
        <w:lastRenderedPageBreak/>
        <w:t xml:space="preserve">Ivaldi G (2018) Contesting the EU in times of crisis: The Front National and politics of Euroscepticism in France. </w:t>
      </w:r>
      <w:r w:rsidRPr="00C601A6">
        <w:rPr>
          <w:i/>
          <w:iCs/>
          <w:noProof/>
        </w:rPr>
        <w:t>Politics</w:t>
      </w:r>
      <w:r w:rsidRPr="00C601A6">
        <w:rPr>
          <w:noProof/>
        </w:rPr>
        <w:t xml:space="preserve"> Pirro ALP, Taggart P, and van Kessel S (eds) 38(3). London, England: 278–294.</w:t>
      </w:r>
    </w:p>
    <w:p w14:paraId="237497B5" w14:textId="77777777" w:rsidR="00C601A6" w:rsidRPr="006A4C08" w:rsidRDefault="00C601A6" w:rsidP="00C601A6">
      <w:pPr>
        <w:widowControl w:val="0"/>
        <w:autoSpaceDE w:val="0"/>
        <w:autoSpaceDN w:val="0"/>
        <w:adjustRightInd w:val="0"/>
        <w:ind w:left="480" w:hanging="480"/>
        <w:jc w:val="both"/>
        <w:rPr>
          <w:noProof/>
          <w:lang w:val="de-DE"/>
        </w:rPr>
      </w:pPr>
      <w:r w:rsidRPr="00C601A6">
        <w:rPr>
          <w:noProof/>
        </w:rPr>
        <w:t xml:space="preserve">Ivaldi G (2019) Populism in France. In: Stockemer D (ed.) </w:t>
      </w:r>
      <w:r w:rsidRPr="00C601A6">
        <w:rPr>
          <w:i/>
          <w:iCs/>
          <w:noProof/>
        </w:rPr>
        <w:t>Populism Around the World A Comparative Perspective</w:t>
      </w:r>
      <w:r w:rsidRPr="00C601A6">
        <w:rPr>
          <w:noProof/>
        </w:rPr>
        <w:t xml:space="preserve">. </w:t>
      </w:r>
      <w:r w:rsidRPr="006A4C08">
        <w:rPr>
          <w:noProof/>
          <w:lang w:val="de-DE"/>
        </w:rPr>
        <w:t>Cham: Springer International Publishing, pp. 27–47. DOI: 10.1007/978-3-319-96758-5.</w:t>
      </w:r>
    </w:p>
    <w:p w14:paraId="4AECCD2D" w14:textId="77777777" w:rsidR="00C601A6" w:rsidRPr="00C601A6" w:rsidRDefault="00C601A6" w:rsidP="00C601A6">
      <w:pPr>
        <w:widowControl w:val="0"/>
        <w:autoSpaceDE w:val="0"/>
        <w:autoSpaceDN w:val="0"/>
        <w:adjustRightInd w:val="0"/>
        <w:ind w:left="480" w:hanging="480"/>
        <w:jc w:val="both"/>
        <w:rPr>
          <w:noProof/>
        </w:rPr>
      </w:pPr>
      <w:r w:rsidRPr="006A4C08">
        <w:rPr>
          <w:noProof/>
          <w:lang w:val="de-DE"/>
        </w:rPr>
        <w:t xml:space="preserve">Kroh M and Fetz K (2016) Das Profil der AfD-AnhängerInnen hat sich seit Gründung der Partei deutlich verändert. </w:t>
      </w:r>
      <w:r w:rsidRPr="00C601A6">
        <w:rPr>
          <w:noProof/>
        </w:rPr>
        <w:t>Available at: http://hdl.handle.net/10419/146530 (accessed 31 October 2019).</w:t>
      </w:r>
    </w:p>
    <w:p w14:paraId="798809B1"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Krzyżanowska N and Krzyżanowski M (2018) ‘Crisis’ and Migration in Poland: Discursive Shifts, Anti-Pluralism and the Politicisation of Exclusion. </w:t>
      </w:r>
      <w:r w:rsidRPr="00C601A6">
        <w:rPr>
          <w:i/>
          <w:iCs/>
          <w:noProof/>
        </w:rPr>
        <w:t>Sociology</w:t>
      </w:r>
      <w:r w:rsidRPr="00C601A6">
        <w:rPr>
          <w:noProof/>
        </w:rPr>
        <w:t xml:space="preserve"> Dines N, Montagna N, and Vacchelli E (eds) 52(3). London, England: 612–618.</w:t>
      </w:r>
    </w:p>
    <w:p w14:paraId="72E8BD0A" w14:textId="77777777" w:rsidR="00C601A6" w:rsidRPr="006A4C08" w:rsidRDefault="00C601A6" w:rsidP="00C601A6">
      <w:pPr>
        <w:widowControl w:val="0"/>
        <w:autoSpaceDE w:val="0"/>
        <w:autoSpaceDN w:val="0"/>
        <w:adjustRightInd w:val="0"/>
        <w:ind w:left="480" w:hanging="480"/>
        <w:jc w:val="both"/>
        <w:rPr>
          <w:noProof/>
          <w:lang w:val="de-DE"/>
        </w:rPr>
      </w:pPr>
      <w:r w:rsidRPr="006A4C08">
        <w:rPr>
          <w:noProof/>
          <w:lang w:val="de-DE"/>
        </w:rPr>
        <w:t xml:space="preserve">Lewandowsky M, Giebler H and Wagner A (2016) Rechtspopulismus in Deutschland. Eine empirische Einordnung der Parteien zur Bundestagswahl 2013 unter besonderer Berücksichtigung der AfD. </w:t>
      </w:r>
      <w:r w:rsidRPr="006A4C08">
        <w:rPr>
          <w:i/>
          <w:iCs/>
          <w:noProof/>
          <w:lang w:val="de-DE"/>
        </w:rPr>
        <w:t>Politische Vierteljahresschrift</w:t>
      </w:r>
      <w:r w:rsidRPr="006A4C08">
        <w:rPr>
          <w:noProof/>
          <w:lang w:val="de-DE"/>
        </w:rPr>
        <w:t xml:space="preserve"> 57(2): 247–275. DOI: 10.5771/0032-3470-2016-2-247.</w:t>
      </w:r>
    </w:p>
    <w:p w14:paraId="65A91EA5" w14:textId="77777777" w:rsidR="00C601A6" w:rsidRPr="00C601A6" w:rsidRDefault="00C601A6" w:rsidP="00C601A6">
      <w:pPr>
        <w:widowControl w:val="0"/>
        <w:autoSpaceDE w:val="0"/>
        <w:autoSpaceDN w:val="0"/>
        <w:adjustRightInd w:val="0"/>
        <w:ind w:left="480" w:hanging="480"/>
        <w:jc w:val="both"/>
        <w:rPr>
          <w:noProof/>
        </w:rPr>
      </w:pPr>
      <w:r w:rsidRPr="006A4C08">
        <w:rPr>
          <w:noProof/>
          <w:lang w:val="de-DE"/>
        </w:rPr>
        <w:t xml:space="preserve">Mudde C (2007) </w:t>
      </w:r>
      <w:r w:rsidRPr="006A4C08">
        <w:rPr>
          <w:i/>
          <w:iCs/>
          <w:noProof/>
          <w:lang w:val="de-DE"/>
        </w:rPr>
        <w:t>Populist Radical Right Parties in Europe</w:t>
      </w:r>
      <w:r w:rsidRPr="006A4C08">
        <w:rPr>
          <w:noProof/>
          <w:lang w:val="de-DE"/>
        </w:rPr>
        <w:t xml:space="preserve">. </w:t>
      </w:r>
      <w:r w:rsidRPr="00C601A6">
        <w:rPr>
          <w:noProof/>
        </w:rPr>
        <w:t>Cambridge: Cambridge University Press. DOI: 10.1017/CBO9780511492037.</w:t>
      </w:r>
    </w:p>
    <w:p w14:paraId="24097D14"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Ost D (2018) Workers and the Radical Right in Poland. </w:t>
      </w:r>
      <w:r w:rsidRPr="00C601A6">
        <w:rPr>
          <w:i/>
          <w:iCs/>
          <w:noProof/>
        </w:rPr>
        <w:t>International Labor and Working-Class History</w:t>
      </w:r>
      <w:r w:rsidRPr="00C601A6">
        <w:rPr>
          <w:noProof/>
        </w:rPr>
        <w:t xml:space="preserve"> 93. 2018/05/03. Cambridge University Press: 113–124. DOI: DOI: 10.1017/S0147547917000345.</w:t>
      </w:r>
    </w:p>
    <w:p w14:paraId="1B1039A4" w14:textId="77777777" w:rsidR="00C601A6" w:rsidRPr="006A4C08" w:rsidRDefault="00C601A6" w:rsidP="00C601A6">
      <w:pPr>
        <w:widowControl w:val="0"/>
        <w:autoSpaceDE w:val="0"/>
        <w:autoSpaceDN w:val="0"/>
        <w:adjustRightInd w:val="0"/>
        <w:ind w:left="480" w:hanging="480"/>
        <w:jc w:val="both"/>
        <w:rPr>
          <w:noProof/>
          <w:lang w:val="de-DE"/>
        </w:rPr>
      </w:pPr>
      <w:r w:rsidRPr="00C601A6">
        <w:rPr>
          <w:noProof/>
        </w:rPr>
        <w:t xml:space="preserve">Rydgren J (2017) Radical right-wing parties in Europe: What’s populism got to do with it? </w:t>
      </w:r>
      <w:r w:rsidRPr="006A4C08">
        <w:rPr>
          <w:i/>
          <w:iCs/>
          <w:noProof/>
          <w:lang w:val="de-DE"/>
        </w:rPr>
        <w:t>Journal Of Language And Politics</w:t>
      </w:r>
      <w:r w:rsidRPr="006A4C08">
        <w:rPr>
          <w:noProof/>
          <w:lang w:val="de-DE"/>
        </w:rPr>
        <w:t xml:space="preserve"> 16(4): 485–496.</w:t>
      </w:r>
    </w:p>
    <w:p w14:paraId="58800618" w14:textId="77777777" w:rsidR="00C601A6" w:rsidRPr="006A4C08" w:rsidRDefault="00C601A6" w:rsidP="00C601A6">
      <w:pPr>
        <w:widowControl w:val="0"/>
        <w:autoSpaceDE w:val="0"/>
        <w:autoSpaceDN w:val="0"/>
        <w:adjustRightInd w:val="0"/>
        <w:ind w:left="480" w:hanging="480"/>
        <w:jc w:val="both"/>
        <w:rPr>
          <w:noProof/>
          <w:lang w:val="de-DE"/>
        </w:rPr>
      </w:pPr>
      <w:r w:rsidRPr="006A4C08">
        <w:rPr>
          <w:noProof/>
          <w:lang w:val="de-DE"/>
        </w:rPr>
        <w:t xml:space="preserve">Schiedel H (2017) Antisemitismus und völkische Ideologie. Ist die FPÖ eine rechtsextreme Partei? In: Grigat S (ed.) </w:t>
      </w:r>
      <w:r w:rsidRPr="006A4C08">
        <w:rPr>
          <w:i/>
          <w:iCs/>
          <w:noProof/>
          <w:lang w:val="de-DE"/>
        </w:rPr>
        <w:t xml:space="preserve">AfD &amp; FPÖ. Antisemitismus, völkischer Nationalismus und </w:t>
      </w:r>
      <w:r w:rsidRPr="006A4C08">
        <w:rPr>
          <w:i/>
          <w:iCs/>
          <w:noProof/>
          <w:lang w:val="de-DE"/>
        </w:rPr>
        <w:lastRenderedPageBreak/>
        <w:t>Geschlechterbilder: Antisemitismus, völkischer Nationalismus und Geschlechterbilder</w:t>
      </w:r>
      <w:r w:rsidRPr="006A4C08">
        <w:rPr>
          <w:noProof/>
          <w:lang w:val="de-DE"/>
        </w:rPr>
        <w:t>. Baden-Baden: Nomos, pp. 103–120. DOI: 10.5771/9783845281032.</w:t>
      </w:r>
    </w:p>
    <w:p w14:paraId="4276A56E" w14:textId="77777777" w:rsidR="00C601A6" w:rsidRPr="00C601A6" w:rsidRDefault="00C601A6" w:rsidP="00C601A6">
      <w:pPr>
        <w:widowControl w:val="0"/>
        <w:autoSpaceDE w:val="0"/>
        <w:autoSpaceDN w:val="0"/>
        <w:adjustRightInd w:val="0"/>
        <w:ind w:left="480" w:hanging="480"/>
        <w:jc w:val="both"/>
        <w:rPr>
          <w:noProof/>
        </w:rPr>
      </w:pPr>
      <w:r w:rsidRPr="006A4C08">
        <w:rPr>
          <w:noProof/>
          <w:lang w:val="de-DE"/>
        </w:rPr>
        <w:t xml:space="preserve">Schmitt-Beck R (2017) The ‘Alternative für Deutschland’’ in the electorate: Between single-issue and right-wing populist party’. </w:t>
      </w:r>
      <w:r w:rsidRPr="00C601A6">
        <w:rPr>
          <w:i/>
          <w:iCs/>
          <w:noProof/>
        </w:rPr>
        <w:t>German Politics</w:t>
      </w:r>
      <w:r w:rsidRPr="00C601A6">
        <w:rPr>
          <w:noProof/>
        </w:rPr>
        <w:t xml:space="preserve"> 26(1). Taylor &amp; Francis: 124–148. DOI: 10.1080/09644008.2016.1184650.</w:t>
      </w:r>
    </w:p>
    <w:p w14:paraId="5CB53737"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Stanley B and Czesnik M (2019) Populism in Poland. In: Stockemer D (ed.) </w:t>
      </w:r>
      <w:r w:rsidRPr="00C601A6">
        <w:rPr>
          <w:i/>
          <w:iCs/>
          <w:noProof/>
        </w:rPr>
        <w:t>Populism Around the World. A Comparative Perspective</w:t>
      </w:r>
      <w:r w:rsidRPr="00C601A6">
        <w:rPr>
          <w:noProof/>
        </w:rPr>
        <w:t>. Cham: Springer International Publishing, pp. 67–87. DOI: 10.1007/978-3-319-96758-5.</w:t>
      </w:r>
    </w:p>
    <w:p w14:paraId="2F14130C" w14:textId="77777777" w:rsidR="00C601A6" w:rsidRPr="006A4C08" w:rsidRDefault="00C601A6" w:rsidP="00C601A6">
      <w:pPr>
        <w:widowControl w:val="0"/>
        <w:autoSpaceDE w:val="0"/>
        <w:autoSpaceDN w:val="0"/>
        <w:adjustRightInd w:val="0"/>
        <w:ind w:left="480" w:hanging="480"/>
        <w:jc w:val="both"/>
        <w:rPr>
          <w:noProof/>
          <w:lang w:val="de-DE"/>
        </w:rPr>
      </w:pPr>
      <w:r w:rsidRPr="00C601A6">
        <w:rPr>
          <w:noProof/>
        </w:rPr>
        <w:t xml:space="preserve">Stockemer D (2017) </w:t>
      </w:r>
      <w:r w:rsidRPr="00C601A6">
        <w:rPr>
          <w:i/>
          <w:iCs/>
          <w:noProof/>
        </w:rPr>
        <w:t>The Front National in France. Continuity and Change Under Jean-Marie Le Pen and Marine Le Pen</w:t>
      </w:r>
      <w:r w:rsidRPr="00C601A6">
        <w:rPr>
          <w:noProof/>
        </w:rPr>
        <w:t xml:space="preserve">. </w:t>
      </w:r>
      <w:r w:rsidRPr="006A4C08">
        <w:rPr>
          <w:noProof/>
          <w:lang w:val="de-DE"/>
        </w:rPr>
        <w:t>Springer International Publishing. DOI: 10.1007/978-3-319-49640-5_2.</w:t>
      </w:r>
    </w:p>
    <w:p w14:paraId="302B7393" w14:textId="77777777" w:rsidR="00C601A6" w:rsidRPr="00C601A6" w:rsidRDefault="00C601A6" w:rsidP="00C601A6">
      <w:pPr>
        <w:widowControl w:val="0"/>
        <w:autoSpaceDE w:val="0"/>
        <w:autoSpaceDN w:val="0"/>
        <w:adjustRightInd w:val="0"/>
        <w:ind w:left="480" w:hanging="480"/>
        <w:jc w:val="both"/>
        <w:rPr>
          <w:noProof/>
        </w:rPr>
      </w:pPr>
      <w:r w:rsidRPr="006A4C08">
        <w:rPr>
          <w:noProof/>
          <w:lang w:val="de-DE"/>
        </w:rPr>
        <w:t xml:space="preserve">Stögner K (2017) Angst vor dem „neuen Menschen“. Zur Verschränkung von Antisemitismus, Antifeminismus und Nationalismus in der FPÖ. In: Grigat S (ed.) </w:t>
      </w:r>
      <w:r w:rsidRPr="006A4C08">
        <w:rPr>
          <w:i/>
          <w:iCs/>
          <w:noProof/>
          <w:lang w:val="de-DE"/>
        </w:rPr>
        <w:t>AfD &amp; FPÖ. Antisemitismus, Völkischer Nationalismus Und Geschlechterbilder</w:t>
      </w:r>
      <w:r w:rsidRPr="006A4C08">
        <w:rPr>
          <w:noProof/>
          <w:lang w:val="de-DE"/>
        </w:rPr>
        <w:t xml:space="preserve">. </w:t>
      </w:r>
      <w:r w:rsidRPr="00C601A6">
        <w:rPr>
          <w:noProof/>
        </w:rPr>
        <w:t>Baden-Baden: Nomos, pp. 137–162. DOI: 10.5771/9783845281032-137.</w:t>
      </w:r>
    </w:p>
    <w:p w14:paraId="0DFD9B6F" w14:textId="77777777" w:rsidR="00C601A6" w:rsidRPr="00C601A6" w:rsidRDefault="00C601A6" w:rsidP="00C601A6">
      <w:pPr>
        <w:widowControl w:val="0"/>
        <w:autoSpaceDE w:val="0"/>
        <w:autoSpaceDN w:val="0"/>
        <w:adjustRightInd w:val="0"/>
        <w:ind w:left="480" w:hanging="480"/>
        <w:jc w:val="both"/>
        <w:rPr>
          <w:noProof/>
        </w:rPr>
      </w:pPr>
      <w:r w:rsidRPr="00C601A6">
        <w:rPr>
          <w:noProof/>
        </w:rPr>
        <w:t xml:space="preserve">Widfeldt A (2008) Party change as a necessity – The case of the Sweden democrats. </w:t>
      </w:r>
      <w:r w:rsidRPr="00C601A6">
        <w:rPr>
          <w:i/>
          <w:iCs/>
          <w:noProof/>
        </w:rPr>
        <w:t>Representation</w:t>
      </w:r>
      <w:r w:rsidRPr="00C601A6">
        <w:rPr>
          <w:noProof/>
        </w:rPr>
        <w:t xml:space="preserve"> 44(3): 265–276. DOI: 10.1080/00344890802237031.</w:t>
      </w:r>
    </w:p>
    <w:p w14:paraId="37C1ECBE" w14:textId="77777777" w:rsidR="00CF4EBD" w:rsidRPr="00F121D3" w:rsidRDefault="0063182C" w:rsidP="00C601A6">
      <w:pPr>
        <w:widowControl w:val="0"/>
        <w:autoSpaceDE w:val="0"/>
        <w:autoSpaceDN w:val="0"/>
        <w:adjustRightInd w:val="0"/>
        <w:jc w:val="both"/>
        <w:rPr>
          <w:rFonts w:eastAsia="Calibri"/>
          <w:b/>
        </w:rPr>
      </w:pPr>
      <w:r w:rsidRPr="00F121D3">
        <w:rPr>
          <w:rFonts w:eastAsia="Calibri"/>
        </w:rPr>
        <w:fldChar w:fldCharType="end"/>
      </w:r>
      <w:r w:rsidR="00CF4EBD" w:rsidRPr="00F121D3">
        <w:rPr>
          <w:rFonts w:eastAsia="Calibri"/>
          <w:b/>
        </w:rPr>
        <w:br w:type="page"/>
      </w:r>
    </w:p>
    <w:p w14:paraId="1B5BC6B7" w14:textId="77777777" w:rsidR="00C601A6" w:rsidRDefault="00C601A6" w:rsidP="00F121D3">
      <w:pPr>
        <w:spacing w:after="160"/>
        <w:jc w:val="both"/>
        <w:rPr>
          <w:rFonts w:eastAsia="Calibri"/>
          <w:b/>
          <w:lang w:eastAsia="en-US"/>
        </w:rPr>
        <w:sectPr w:rsidR="00C601A6" w:rsidSect="004B5672">
          <w:footerReference w:type="default" r:id="rId7"/>
          <w:pgSz w:w="11906" w:h="16838"/>
          <w:pgMar w:top="1417" w:right="1417" w:bottom="1134" w:left="1417" w:header="708" w:footer="708" w:gutter="0"/>
          <w:cols w:space="708"/>
          <w:docGrid w:linePitch="360"/>
        </w:sectPr>
      </w:pPr>
    </w:p>
    <w:p w14:paraId="3FFE230D" w14:textId="530FAC8F" w:rsidR="00A20FB6" w:rsidRPr="00F121D3" w:rsidRDefault="00A20FB6" w:rsidP="00F121D3">
      <w:pPr>
        <w:spacing w:after="160"/>
        <w:jc w:val="both"/>
        <w:rPr>
          <w:rFonts w:eastAsia="Calibri"/>
          <w:b/>
          <w:lang w:eastAsia="en-US"/>
        </w:rPr>
      </w:pPr>
      <w:r w:rsidRPr="00F121D3">
        <w:rPr>
          <w:rFonts w:eastAsia="Calibri"/>
          <w:b/>
          <w:lang w:eastAsia="en-US"/>
        </w:rPr>
        <w:lastRenderedPageBreak/>
        <w:t>Appendix 2: Summary statistics for candidate models with varying K</w:t>
      </w:r>
    </w:p>
    <w:tbl>
      <w:tblPr>
        <w:tblStyle w:val="Tabellenraster1"/>
        <w:tblW w:w="8936" w:type="dxa"/>
        <w:tblLook w:val="04A0" w:firstRow="1" w:lastRow="0" w:firstColumn="1" w:lastColumn="0" w:noHBand="0" w:noVBand="1"/>
      </w:tblPr>
      <w:tblGrid>
        <w:gridCol w:w="2411"/>
        <w:gridCol w:w="1139"/>
        <w:gridCol w:w="2411"/>
        <w:gridCol w:w="2975"/>
      </w:tblGrid>
      <w:tr w:rsidR="00A20FB6" w:rsidRPr="00F121D3" w14:paraId="0EDA48CD" w14:textId="77777777" w:rsidTr="000306CB">
        <w:tc>
          <w:tcPr>
            <w:tcW w:w="2411" w:type="dxa"/>
            <w:tcBorders>
              <w:top w:val="single" w:sz="12" w:space="0" w:color="auto"/>
              <w:left w:val="nil"/>
              <w:bottom w:val="single" w:sz="12" w:space="0" w:color="auto"/>
              <w:right w:val="nil"/>
            </w:tcBorders>
          </w:tcPr>
          <w:p w14:paraId="13937062" w14:textId="77777777" w:rsidR="00A20FB6" w:rsidRPr="00F121D3" w:rsidRDefault="00A20FB6" w:rsidP="00F121D3">
            <w:pPr>
              <w:spacing w:line="276" w:lineRule="auto"/>
              <w:jc w:val="both"/>
              <w:rPr>
                <w:rFonts w:eastAsia="Calibri"/>
                <w:b/>
                <w:lang w:val="de-DE" w:eastAsia="en-US"/>
              </w:rPr>
            </w:pPr>
            <w:r w:rsidRPr="00F121D3">
              <w:rPr>
                <w:rFonts w:eastAsia="Calibri"/>
                <w:b/>
                <w:lang w:val="de-DE" w:eastAsia="en-US"/>
              </w:rPr>
              <w:t>Country</w:t>
            </w:r>
          </w:p>
        </w:tc>
        <w:tc>
          <w:tcPr>
            <w:tcW w:w="1139" w:type="dxa"/>
            <w:tcBorders>
              <w:top w:val="single" w:sz="12" w:space="0" w:color="auto"/>
              <w:left w:val="nil"/>
              <w:bottom w:val="single" w:sz="12" w:space="0" w:color="auto"/>
              <w:right w:val="nil"/>
            </w:tcBorders>
          </w:tcPr>
          <w:p w14:paraId="1A4B1E18" w14:textId="77777777" w:rsidR="00A20FB6" w:rsidRPr="00F121D3" w:rsidRDefault="00A20FB6" w:rsidP="00F121D3">
            <w:pPr>
              <w:spacing w:line="276" w:lineRule="auto"/>
              <w:jc w:val="both"/>
              <w:rPr>
                <w:rFonts w:eastAsia="Calibri"/>
                <w:b/>
                <w:lang w:val="de-DE" w:eastAsia="en-US"/>
              </w:rPr>
            </w:pPr>
            <w:r w:rsidRPr="00F121D3">
              <w:rPr>
                <w:rFonts w:eastAsia="Calibri"/>
                <w:b/>
                <w:lang w:val="de-DE" w:eastAsia="en-US"/>
              </w:rPr>
              <w:t>K</w:t>
            </w:r>
          </w:p>
        </w:tc>
        <w:tc>
          <w:tcPr>
            <w:tcW w:w="2411" w:type="dxa"/>
            <w:tcBorders>
              <w:top w:val="single" w:sz="12" w:space="0" w:color="auto"/>
              <w:left w:val="nil"/>
              <w:bottom w:val="single" w:sz="12" w:space="0" w:color="auto"/>
              <w:right w:val="nil"/>
            </w:tcBorders>
          </w:tcPr>
          <w:p w14:paraId="4ECE44ED" w14:textId="77777777" w:rsidR="00A20FB6" w:rsidRPr="00F121D3" w:rsidRDefault="00A20FB6" w:rsidP="00F121D3">
            <w:pPr>
              <w:spacing w:line="276" w:lineRule="auto"/>
              <w:jc w:val="both"/>
              <w:rPr>
                <w:rFonts w:eastAsia="Calibri"/>
                <w:b/>
                <w:lang w:val="de-DE" w:eastAsia="en-US"/>
              </w:rPr>
            </w:pPr>
            <w:proofErr w:type="spellStart"/>
            <w:r w:rsidRPr="00F121D3">
              <w:rPr>
                <w:rFonts w:eastAsia="Calibri"/>
                <w:b/>
                <w:lang w:val="de-DE" w:eastAsia="en-US"/>
              </w:rPr>
              <w:t>Semantic</w:t>
            </w:r>
            <w:proofErr w:type="spellEnd"/>
            <w:r w:rsidRPr="00F121D3">
              <w:rPr>
                <w:rFonts w:eastAsia="Calibri"/>
                <w:b/>
                <w:lang w:val="de-DE" w:eastAsia="en-US"/>
              </w:rPr>
              <w:t xml:space="preserve"> Coherence</w:t>
            </w:r>
            <w:r w:rsidRPr="00F121D3">
              <w:rPr>
                <w:rFonts w:eastAsia="Calibri"/>
                <w:b/>
                <w:vertAlign w:val="superscript"/>
                <w:lang w:val="de-DE" w:eastAsia="en-US"/>
              </w:rPr>
              <w:t>1</w:t>
            </w:r>
          </w:p>
        </w:tc>
        <w:tc>
          <w:tcPr>
            <w:tcW w:w="2975" w:type="dxa"/>
            <w:tcBorders>
              <w:top w:val="single" w:sz="12" w:space="0" w:color="auto"/>
              <w:left w:val="nil"/>
              <w:bottom w:val="single" w:sz="12" w:space="0" w:color="auto"/>
              <w:right w:val="nil"/>
            </w:tcBorders>
          </w:tcPr>
          <w:p w14:paraId="5A371981" w14:textId="77777777" w:rsidR="00A20FB6" w:rsidRPr="00F121D3" w:rsidRDefault="00A20FB6" w:rsidP="00F121D3">
            <w:pPr>
              <w:spacing w:line="276" w:lineRule="auto"/>
              <w:jc w:val="both"/>
              <w:rPr>
                <w:rFonts w:eastAsia="Calibri"/>
                <w:b/>
                <w:lang w:val="de-DE" w:eastAsia="en-US"/>
              </w:rPr>
            </w:pPr>
            <w:proofErr w:type="spellStart"/>
            <w:r w:rsidRPr="00F121D3">
              <w:rPr>
                <w:rFonts w:eastAsia="Calibri"/>
                <w:b/>
                <w:lang w:val="de-DE" w:eastAsia="en-US"/>
              </w:rPr>
              <w:t>Heldout</w:t>
            </w:r>
            <w:proofErr w:type="spellEnd"/>
            <w:r w:rsidRPr="00F121D3">
              <w:rPr>
                <w:rFonts w:eastAsia="Calibri"/>
                <w:b/>
                <w:lang w:val="de-DE" w:eastAsia="en-US"/>
              </w:rPr>
              <w:t xml:space="preserve"> Likelihood</w:t>
            </w:r>
            <w:r w:rsidRPr="00F121D3">
              <w:rPr>
                <w:rFonts w:eastAsia="Calibri"/>
                <w:b/>
                <w:vertAlign w:val="superscript"/>
                <w:lang w:val="de-DE" w:eastAsia="en-US"/>
              </w:rPr>
              <w:t>2</w:t>
            </w:r>
          </w:p>
        </w:tc>
      </w:tr>
      <w:tr w:rsidR="00A20FB6" w:rsidRPr="00F121D3" w14:paraId="5AA69848" w14:textId="77777777" w:rsidTr="00A20FB6">
        <w:tc>
          <w:tcPr>
            <w:tcW w:w="2411" w:type="dxa"/>
            <w:tcBorders>
              <w:top w:val="single" w:sz="12" w:space="0" w:color="auto"/>
              <w:left w:val="nil"/>
              <w:bottom w:val="nil"/>
              <w:right w:val="nil"/>
            </w:tcBorders>
          </w:tcPr>
          <w:p w14:paraId="67279944" w14:textId="77777777" w:rsidR="00A20FB6" w:rsidRPr="00F121D3" w:rsidRDefault="00A20FB6" w:rsidP="00F121D3">
            <w:pPr>
              <w:spacing w:line="276" w:lineRule="auto"/>
              <w:ind w:left="464" w:hanging="464"/>
              <w:jc w:val="both"/>
              <w:rPr>
                <w:rFonts w:eastAsia="Calibri"/>
                <w:i/>
                <w:lang w:val="de-DE" w:eastAsia="en-US"/>
              </w:rPr>
            </w:pPr>
            <w:r w:rsidRPr="00F121D3">
              <w:rPr>
                <w:rFonts w:eastAsia="Calibri"/>
                <w:i/>
                <w:lang w:val="de-DE" w:eastAsia="en-US"/>
              </w:rPr>
              <w:t>Austria</w:t>
            </w:r>
          </w:p>
        </w:tc>
        <w:tc>
          <w:tcPr>
            <w:tcW w:w="1139" w:type="dxa"/>
            <w:tcBorders>
              <w:top w:val="single" w:sz="12" w:space="0" w:color="auto"/>
              <w:left w:val="nil"/>
              <w:bottom w:val="single" w:sz="2" w:space="0" w:color="A6A6A6"/>
              <w:right w:val="nil"/>
            </w:tcBorders>
          </w:tcPr>
          <w:p w14:paraId="752FB9C4"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10</w:t>
            </w:r>
          </w:p>
        </w:tc>
        <w:tc>
          <w:tcPr>
            <w:tcW w:w="2411" w:type="dxa"/>
            <w:tcBorders>
              <w:top w:val="single" w:sz="12" w:space="0" w:color="auto"/>
              <w:left w:val="nil"/>
              <w:bottom w:val="single" w:sz="2" w:space="0" w:color="A6A6A6"/>
              <w:right w:val="nil"/>
            </w:tcBorders>
            <w:vAlign w:val="bottom"/>
          </w:tcPr>
          <w:p w14:paraId="42F67BE7"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-153.54479</w:t>
            </w:r>
          </w:p>
        </w:tc>
        <w:tc>
          <w:tcPr>
            <w:tcW w:w="2975" w:type="dxa"/>
            <w:tcBorders>
              <w:top w:val="single" w:sz="12" w:space="0" w:color="auto"/>
              <w:left w:val="nil"/>
              <w:bottom w:val="single" w:sz="2" w:space="0" w:color="A6A6A6"/>
              <w:right w:val="nil"/>
            </w:tcBorders>
            <w:vAlign w:val="bottom"/>
          </w:tcPr>
          <w:p w14:paraId="04FC35BF"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-7.28603</w:t>
            </w:r>
          </w:p>
        </w:tc>
      </w:tr>
      <w:tr w:rsidR="00A20FB6" w:rsidRPr="00F121D3" w14:paraId="6AF09014" w14:textId="77777777" w:rsidTr="00A20FB6">
        <w:tc>
          <w:tcPr>
            <w:tcW w:w="2411" w:type="dxa"/>
            <w:tcBorders>
              <w:top w:val="nil"/>
              <w:left w:val="nil"/>
              <w:bottom w:val="nil"/>
              <w:right w:val="nil"/>
            </w:tcBorders>
          </w:tcPr>
          <w:p w14:paraId="442CEF54"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2" w:space="0" w:color="A6A6A6"/>
              <w:right w:val="nil"/>
            </w:tcBorders>
          </w:tcPr>
          <w:p w14:paraId="0AE635F2"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15</w:t>
            </w:r>
          </w:p>
        </w:tc>
        <w:tc>
          <w:tcPr>
            <w:tcW w:w="2411" w:type="dxa"/>
            <w:tcBorders>
              <w:top w:val="single" w:sz="2" w:space="0" w:color="A6A6A6"/>
              <w:left w:val="nil"/>
              <w:bottom w:val="single" w:sz="2" w:space="0" w:color="A6A6A6"/>
              <w:right w:val="nil"/>
            </w:tcBorders>
            <w:vAlign w:val="bottom"/>
          </w:tcPr>
          <w:p w14:paraId="3CB042E1"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-140.99765</w:t>
            </w:r>
          </w:p>
        </w:tc>
        <w:tc>
          <w:tcPr>
            <w:tcW w:w="2975" w:type="dxa"/>
            <w:tcBorders>
              <w:top w:val="single" w:sz="2" w:space="0" w:color="A6A6A6"/>
              <w:left w:val="nil"/>
              <w:bottom w:val="single" w:sz="2" w:space="0" w:color="A6A6A6"/>
              <w:right w:val="nil"/>
            </w:tcBorders>
            <w:vAlign w:val="bottom"/>
          </w:tcPr>
          <w:p w14:paraId="510293E5"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-7.54061</w:t>
            </w:r>
          </w:p>
        </w:tc>
      </w:tr>
      <w:tr w:rsidR="00A20FB6" w:rsidRPr="00F121D3" w14:paraId="785E3AD7" w14:textId="77777777" w:rsidTr="00A20FB6">
        <w:tc>
          <w:tcPr>
            <w:tcW w:w="2411" w:type="dxa"/>
            <w:tcBorders>
              <w:top w:val="nil"/>
              <w:left w:val="nil"/>
              <w:bottom w:val="single" w:sz="12" w:space="0" w:color="auto"/>
              <w:right w:val="nil"/>
            </w:tcBorders>
          </w:tcPr>
          <w:p w14:paraId="29D451F1"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12" w:space="0" w:color="auto"/>
              <w:right w:val="nil"/>
            </w:tcBorders>
          </w:tcPr>
          <w:p w14:paraId="51585BFF"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20</w:t>
            </w:r>
          </w:p>
        </w:tc>
        <w:tc>
          <w:tcPr>
            <w:tcW w:w="2411" w:type="dxa"/>
            <w:tcBorders>
              <w:top w:val="single" w:sz="2" w:space="0" w:color="A6A6A6"/>
              <w:left w:val="nil"/>
              <w:bottom w:val="single" w:sz="12" w:space="0" w:color="auto"/>
              <w:right w:val="nil"/>
            </w:tcBorders>
            <w:vAlign w:val="bottom"/>
          </w:tcPr>
          <w:p w14:paraId="45CE307C"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-140.64096</w:t>
            </w:r>
          </w:p>
        </w:tc>
        <w:tc>
          <w:tcPr>
            <w:tcW w:w="2975" w:type="dxa"/>
            <w:tcBorders>
              <w:top w:val="single" w:sz="2" w:space="0" w:color="A6A6A6"/>
              <w:left w:val="nil"/>
              <w:bottom w:val="single" w:sz="12" w:space="0" w:color="auto"/>
              <w:right w:val="nil"/>
            </w:tcBorders>
            <w:vAlign w:val="bottom"/>
          </w:tcPr>
          <w:p w14:paraId="1226DFA3"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-7.54918</w:t>
            </w:r>
          </w:p>
        </w:tc>
      </w:tr>
      <w:tr w:rsidR="00A20FB6" w:rsidRPr="00F121D3" w14:paraId="08C20E3D" w14:textId="77777777" w:rsidTr="00A20FB6">
        <w:tc>
          <w:tcPr>
            <w:tcW w:w="2411" w:type="dxa"/>
            <w:tcBorders>
              <w:top w:val="single" w:sz="12" w:space="0" w:color="auto"/>
              <w:left w:val="nil"/>
              <w:bottom w:val="nil"/>
              <w:right w:val="nil"/>
            </w:tcBorders>
          </w:tcPr>
          <w:p w14:paraId="52044703"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France</w:t>
            </w:r>
          </w:p>
        </w:tc>
        <w:tc>
          <w:tcPr>
            <w:tcW w:w="1139" w:type="dxa"/>
            <w:tcBorders>
              <w:top w:val="single" w:sz="12" w:space="0" w:color="auto"/>
              <w:left w:val="nil"/>
              <w:bottom w:val="single" w:sz="2" w:space="0" w:color="A6A6A6"/>
              <w:right w:val="nil"/>
            </w:tcBorders>
          </w:tcPr>
          <w:p w14:paraId="09251024"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10</w:t>
            </w:r>
          </w:p>
        </w:tc>
        <w:tc>
          <w:tcPr>
            <w:tcW w:w="2411" w:type="dxa"/>
            <w:tcBorders>
              <w:top w:val="single" w:sz="12" w:space="0" w:color="auto"/>
              <w:left w:val="nil"/>
              <w:bottom w:val="single" w:sz="2" w:space="0" w:color="A6A6A6"/>
              <w:right w:val="nil"/>
            </w:tcBorders>
            <w:vAlign w:val="bottom"/>
          </w:tcPr>
          <w:p w14:paraId="6DE8E495"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-186.35327</w:t>
            </w:r>
          </w:p>
        </w:tc>
        <w:tc>
          <w:tcPr>
            <w:tcW w:w="2975" w:type="dxa"/>
            <w:tcBorders>
              <w:top w:val="single" w:sz="12" w:space="0" w:color="auto"/>
              <w:left w:val="nil"/>
              <w:bottom w:val="single" w:sz="2" w:space="0" w:color="A6A6A6"/>
              <w:right w:val="nil"/>
            </w:tcBorders>
            <w:vAlign w:val="bottom"/>
          </w:tcPr>
          <w:p w14:paraId="1A96081D"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-6.73557</w:t>
            </w:r>
          </w:p>
        </w:tc>
      </w:tr>
      <w:tr w:rsidR="00A20FB6" w:rsidRPr="00F121D3" w14:paraId="00F6890A" w14:textId="77777777" w:rsidTr="00A20FB6">
        <w:tc>
          <w:tcPr>
            <w:tcW w:w="2411" w:type="dxa"/>
            <w:tcBorders>
              <w:top w:val="nil"/>
              <w:left w:val="nil"/>
              <w:bottom w:val="nil"/>
              <w:right w:val="nil"/>
            </w:tcBorders>
          </w:tcPr>
          <w:p w14:paraId="17A8FB80"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2" w:space="0" w:color="A6A6A6"/>
              <w:right w:val="nil"/>
            </w:tcBorders>
          </w:tcPr>
          <w:p w14:paraId="48C51FF6"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15</w:t>
            </w:r>
          </w:p>
        </w:tc>
        <w:tc>
          <w:tcPr>
            <w:tcW w:w="2411" w:type="dxa"/>
            <w:tcBorders>
              <w:top w:val="single" w:sz="2" w:space="0" w:color="A6A6A6"/>
              <w:left w:val="nil"/>
              <w:bottom w:val="single" w:sz="2" w:space="0" w:color="A6A6A6"/>
              <w:right w:val="nil"/>
            </w:tcBorders>
            <w:vAlign w:val="bottom"/>
          </w:tcPr>
          <w:p w14:paraId="4D67FEA0"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-176.53706</w:t>
            </w:r>
          </w:p>
        </w:tc>
        <w:tc>
          <w:tcPr>
            <w:tcW w:w="2975" w:type="dxa"/>
            <w:tcBorders>
              <w:top w:val="single" w:sz="2" w:space="0" w:color="A6A6A6"/>
              <w:left w:val="nil"/>
              <w:bottom w:val="single" w:sz="2" w:space="0" w:color="A6A6A6"/>
              <w:right w:val="nil"/>
            </w:tcBorders>
            <w:vAlign w:val="bottom"/>
          </w:tcPr>
          <w:p w14:paraId="29A02D4C"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-6.68490</w:t>
            </w:r>
          </w:p>
        </w:tc>
      </w:tr>
      <w:tr w:rsidR="00A20FB6" w:rsidRPr="00F121D3" w14:paraId="4D03676F" w14:textId="77777777" w:rsidTr="00A20FB6">
        <w:tc>
          <w:tcPr>
            <w:tcW w:w="2411" w:type="dxa"/>
            <w:tcBorders>
              <w:top w:val="nil"/>
              <w:left w:val="nil"/>
              <w:bottom w:val="single" w:sz="12" w:space="0" w:color="auto"/>
              <w:right w:val="nil"/>
            </w:tcBorders>
          </w:tcPr>
          <w:p w14:paraId="0CF4029A"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12" w:space="0" w:color="auto"/>
              <w:right w:val="nil"/>
            </w:tcBorders>
          </w:tcPr>
          <w:p w14:paraId="081489BE"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20</w:t>
            </w:r>
          </w:p>
        </w:tc>
        <w:tc>
          <w:tcPr>
            <w:tcW w:w="2411" w:type="dxa"/>
            <w:tcBorders>
              <w:top w:val="single" w:sz="2" w:space="0" w:color="A6A6A6"/>
              <w:left w:val="nil"/>
              <w:bottom w:val="single" w:sz="12" w:space="0" w:color="auto"/>
              <w:right w:val="nil"/>
            </w:tcBorders>
            <w:vAlign w:val="bottom"/>
          </w:tcPr>
          <w:p w14:paraId="16F4FB0E"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-184.44570</w:t>
            </w:r>
          </w:p>
        </w:tc>
        <w:tc>
          <w:tcPr>
            <w:tcW w:w="2975" w:type="dxa"/>
            <w:tcBorders>
              <w:top w:val="single" w:sz="2" w:space="0" w:color="A6A6A6"/>
              <w:left w:val="nil"/>
              <w:bottom w:val="single" w:sz="12" w:space="0" w:color="auto"/>
              <w:right w:val="nil"/>
            </w:tcBorders>
            <w:vAlign w:val="bottom"/>
          </w:tcPr>
          <w:p w14:paraId="4F500CAF"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-6.76567</w:t>
            </w:r>
          </w:p>
        </w:tc>
      </w:tr>
      <w:tr w:rsidR="00A20FB6" w:rsidRPr="00F121D3" w14:paraId="382D8849" w14:textId="77777777" w:rsidTr="00A20FB6">
        <w:tc>
          <w:tcPr>
            <w:tcW w:w="2411" w:type="dxa"/>
            <w:tcBorders>
              <w:top w:val="single" w:sz="12" w:space="0" w:color="auto"/>
              <w:left w:val="nil"/>
              <w:bottom w:val="nil"/>
              <w:right w:val="nil"/>
            </w:tcBorders>
          </w:tcPr>
          <w:p w14:paraId="16A3E4FE"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Germany</w:t>
            </w:r>
          </w:p>
        </w:tc>
        <w:tc>
          <w:tcPr>
            <w:tcW w:w="1139" w:type="dxa"/>
            <w:tcBorders>
              <w:top w:val="single" w:sz="12" w:space="0" w:color="auto"/>
              <w:left w:val="nil"/>
              <w:bottom w:val="single" w:sz="2" w:space="0" w:color="A6A6A6"/>
              <w:right w:val="nil"/>
            </w:tcBorders>
          </w:tcPr>
          <w:p w14:paraId="2894ABAF"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10</w:t>
            </w:r>
          </w:p>
        </w:tc>
        <w:tc>
          <w:tcPr>
            <w:tcW w:w="2411" w:type="dxa"/>
            <w:tcBorders>
              <w:top w:val="single" w:sz="12" w:space="0" w:color="auto"/>
              <w:left w:val="nil"/>
              <w:bottom w:val="single" w:sz="2" w:space="0" w:color="A6A6A6"/>
              <w:right w:val="nil"/>
            </w:tcBorders>
            <w:vAlign w:val="bottom"/>
          </w:tcPr>
          <w:p w14:paraId="6A8B1005"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-75.96385</w:t>
            </w:r>
          </w:p>
        </w:tc>
        <w:tc>
          <w:tcPr>
            <w:tcW w:w="2975" w:type="dxa"/>
            <w:tcBorders>
              <w:top w:val="single" w:sz="12" w:space="0" w:color="auto"/>
              <w:left w:val="nil"/>
              <w:bottom w:val="single" w:sz="2" w:space="0" w:color="A6A6A6"/>
              <w:right w:val="nil"/>
            </w:tcBorders>
            <w:vAlign w:val="bottom"/>
          </w:tcPr>
          <w:p w14:paraId="73F2798A"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-8.22735</w:t>
            </w:r>
          </w:p>
        </w:tc>
      </w:tr>
      <w:tr w:rsidR="00A20FB6" w:rsidRPr="00F121D3" w14:paraId="3310A923" w14:textId="77777777" w:rsidTr="00A20FB6">
        <w:tc>
          <w:tcPr>
            <w:tcW w:w="2411" w:type="dxa"/>
            <w:tcBorders>
              <w:top w:val="nil"/>
              <w:left w:val="nil"/>
              <w:bottom w:val="nil"/>
              <w:right w:val="nil"/>
            </w:tcBorders>
          </w:tcPr>
          <w:p w14:paraId="45D23AC0"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2" w:space="0" w:color="A6A6A6"/>
              <w:right w:val="nil"/>
            </w:tcBorders>
          </w:tcPr>
          <w:p w14:paraId="2D24B69C"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15</w:t>
            </w:r>
          </w:p>
        </w:tc>
        <w:tc>
          <w:tcPr>
            <w:tcW w:w="2411" w:type="dxa"/>
            <w:tcBorders>
              <w:top w:val="single" w:sz="2" w:space="0" w:color="A6A6A6"/>
              <w:left w:val="nil"/>
              <w:bottom w:val="single" w:sz="2" w:space="0" w:color="A6A6A6"/>
              <w:right w:val="nil"/>
            </w:tcBorders>
            <w:vAlign w:val="bottom"/>
          </w:tcPr>
          <w:p w14:paraId="747E56DC"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-85.00356</w:t>
            </w:r>
          </w:p>
        </w:tc>
        <w:tc>
          <w:tcPr>
            <w:tcW w:w="2975" w:type="dxa"/>
            <w:tcBorders>
              <w:top w:val="single" w:sz="2" w:space="0" w:color="A6A6A6"/>
              <w:left w:val="nil"/>
              <w:bottom w:val="single" w:sz="2" w:space="0" w:color="A6A6A6"/>
              <w:right w:val="nil"/>
            </w:tcBorders>
            <w:vAlign w:val="bottom"/>
          </w:tcPr>
          <w:p w14:paraId="2DD72E1C"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-8.43819</w:t>
            </w:r>
          </w:p>
        </w:tc>
      </w:tr>
      <w:tr w:rsidR="00A20FB6" w:rsidRPr="00F121D3" w14:paraId="2EC500D8" w14:textId="77777777" w:rsidTr="00A20FB6">
        <w:tc>
          <w:tcPr>
            <w:tcW w:w="2411" w:type="dxa"/>
            <w:tcBorders>
              <w:top w:val="nil"/>
              <w:left w:val="nil"/>
              <w:bottom w:val="single" w:sz="12" w:space="0" w:color="auto"/>
              <w:right w:val="nil"/>
            </w:tcBorders>
          </w:tcPr>
          <w:p w14:paraId="213569B3"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12" w:space="0" w:color="auto"/>
              <w:right w:val="nil"/>
            </w:tcBorders>
          </w:tcPr>
          <w:p w14:paraId="1924C488"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20</w:t>
            </w:r>
          </w:p>
        </w:tc>
        <w:tc>
          <w:tcPr>
            <w:tcW w:w="2411" w:type="dxa"/>
            <w:tcBorders>
              <w:top w:val="single" w:sz="2" w:space="0" w:color="A6A6A6"/>
              <w:left w:val="nil"/>
              <w:bottom w:val="single" w:sz="12" w:space="0" w:color="auto"/>
              <w:right w:val="nil"/>
            </w:tcBorders>
            <w:vAlign w:val="bottom"/>
          </w:tcPr>
          <w:p w14:paraId="32945A57"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-94.36898</w:t>
            </w:r>
          </w:p>
        </w:tc>
        <w:tc>
          <w:tcPr>
            <w:tcW w:w="2975" w:type="dxa"/>
            <w:tcBorders>
              <w:top w:val="single" w:sz="2" w:space="0" w:color="A6A6A6"/>
              <w:left w:val="nil"/>
              <w:bottom w:val="single" w:sz="12" w:space="0" w:color="auto"/>
              <w:right w:val="nil"/>
            </w:tcBorders>
            <w:vAlign w:val="bottom"/>
          </w:tcPr>
          <w:p w14:paraId="005A99A5"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-8.49886</w:t>
            </w:r>
          </w:p>
        </w:tc>
      </w:tr>
      <w:tr w:rsidR="00A20FB6" w:rsidRPr="00F121D3" w14:paraId="30186FF6" w14:textId="77777777" w:rsidTr="00A20FB6">
        <w:tc>
          <w:tcPr>
            <w:tcW w:w="2411" w:type="dxa"/>
            <w:tcBorders>
              <w:top w:val="single" w:sz="12" w:space="0" w:color="auto"/>
              <w:left w:val="nil"/>
              <w:bottom w:val="nil"/>
              <w:right w:val="nil"/>
            </w:tcBorders>
          </w:tcPr>
          <w:p w14:paraId="56BE3742" w14:textId="77777777" w:rsidR="00A20FB6" w:rsidRPr="00F121D3" w:rsidRDefault="00A20FB6" w:rsidP="00F121D3">
            <w:pPr>
              <w:spacing w:line="276" w:lineRule="auto"/>
              <w:jc w:val="both"/>
              <w:rPr>
                <w:rFonts w:eastAsia="Calibri"/>
                <w:i/>
                <w:lang w:val="de-DE" w:eastAsia="en-US"/>
              </w:rPr>
            </w:pPr>
            <w:proofErr w:type="spellStart"/>
            <w:r w:rsidRPr="00F121D3">
              <w:rPr>
                <w:rFonts w:eastAsia="Calibri"/>
                <w:i/>
                <w:lang w:val="de-DE" w:eastAsia="en-US"/>
              </w:rPr>
              <w:t>Italy</w:t>
            </w:r>
            <w:proofErr w:type="spellEnd"/>
          </w:p>
        </w:tc>
        <w:tc>
          <w:tcPr>
            <w:tcW w:w="1139" w:type="dxa"/>
            <w:tcBorders>
              <w:top w:val="single" w:sz="12" w:space="0" w:color="auto"/>
              <w:left w:val="nil"/>
              <w:bottom w:val="single" w:sz="2" w:space="0" w:color="A6A6A6"/>
              <w:right w:val="nil"/>
            </w:tcBorders>
          </w:tcPr>
          <w:p w14:paraId="5A5AD091"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10</w:t>
            </w:r>
          </w:p>
        </w:tc>
        <w:tc>
          <w:tcPr>
            <w:tcW w:w="2411" w:type="dxa"/>
            <w:tcBorders>
              <w:top w:val="single" w:sz="12" w:space="0" w:color="auto"/>
              <w:left w:val="nil"/>
              <w:bottom w:val="single" w:sz="2" w:space="0" w:color="A6A6A6"/>
              <w:right w:val="nil"/>
            </w:tcBorders>
            <w:vAlign w:val="bottom"/>
          </w:tcPr>
          <w:p w14:paraId="69003299"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-133.75023</w:t>
            </w:r>
          </w:p>
        </w:tc>
        <w:tc>
          <w:tcPr>
            <w:tcW w:w="2975" w:type="dxa"/>
            <w:tcBorders>
              <w:top w:val="single" w:sz="12" w:space="0" w:color="auto"/>
              <w:left w:val="nil"/>
              <w:bottom w:val="single" w:sz="2" w:space="0" w:color="A6A6A6"/>
              <w:right w:val="nil"/>
            </w:tcBorders>
            <w:vAlign w:val="bottom"/>
          </w:tcPr>
          <w:p w14:paraId="47A21550"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-6.96822</w:t>
            </w:r>
          </w:p>
        </w:tc>
      </w:tr>
      <w:tr w:rsidR="00A20FB6" w:rsidRPr="00F121D3" w14:paraId="07C0A586" w14:textId="77777777" w:rsidTr="00A20FB6">
        <w:tc>
          <w:tcPr>
            <w:tcW w:w="2411" w:type="dxa"/>
            <w:tcBorders>
              <w:top w:val="nil"/>
              <w:left w:val="nil"/>
              <w:bottom w:val="nil"/>
              <w:right w:val="nil"/>
            </w:tcBorders>
          </w:tcPr>
          <w:p w14:paraId="348BF84D"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2" w:space="0" w:color="A6A6A6"/>
              <w:right w:val="nil"/>
            </w:tcBorders>
          </w:tcPr>
          <w:p w14:paraId="78C163D5"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15</w:t>
            </w:r>
          </w:p>
        </w:tc>
        <w:tc>
          <w:tcPr>
            <w:tcW w:w="2411" w:type="dxa"/>
            <w:tcBorders>
              <w:top w:val="single" w:sz="2" w:space="0" w:color="A6A6A6"/>
              <w:left w:val="nil"/>
              <w:bottom w:val="single" w:sz="2" w:space="0" w:color="A6A6A6"/>
              <w:right w:val="nil"/>
            </w:tcBorders>
            <w:vAlign w:val="bottom"/>
          </w:tcPr>
          <w:p w14:paraId="2E1FD59F"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-156.84123</w:t>
            </w:r>
          </w:p>
        </w:tc>
        <w:tc>
          <w:tcPr>
            <w:tcW w:w="2975" w:type="dxa"/>
            <w:tcBorders>
              <w:top w:val="single" w:sz="2" w:space="0" w:color="A6A6A6"/>
              <w:left w:val="nil"/>
              <w:bottom w:val="single" w:sz="2" w:space="0" w:color="A6A6A6"/>
              <w:right w:val="nil"/>
            </w:tcBorders>
            <w:vAlign w:val="bottom"/>
          </w:tcPr>
          <w:p w14:paraId="1652F654"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-6.94578</w:t>
            </w:r>
          </w:p>
        </w:tc>
      </w:tr>
      <w:tr w:rsidR="00A20FB6" w:rsidRPr="00F121D3" w14:paraId="5D8B6364" w14:textId="77777777" w:rsidTr="00A20FB6">
        <w:tc>
          <w:tcPr>
            <w:tcW w:w="2411" w:type="dxa"/>
            <w:tcBorders>
              <w:top w:val="nil"/>
              <w:left w:val="nil"/>
              <w:bottom w:val="single" w:sz="12" w:space="0" w:color="auto"/>
              <w:right w:val="nil"/>
            </w:tcBorders>
          </w:tcPr>
          <w:p w14:paraId="049AB138"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12" w:space="0" w:color="auto"/>
              <w:right w:val="nil"/>
            </w:tcBorders>
          </w:tcPr>
          <w:p w14:paraId="3D8D52E9"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20</w:t>
            </w:r>
          </w:p>
        </w:tc>
        <w:tc>
          <w:tcPr>
            <w:tcW w:w="2411" w:type="dxa"/>
            <w:tcBorders>
              <w:top w:val="single" w:sz="2" w:space="0" w:color="A6A6A6"/>
              <w:left w:val="nil"/>
              <w:bottom w:val="single" w:sz="12" w:space="0" w:color="auto"/>
              <w:right w:val="nil"/>
            </w:tcBorders>
            <w:vAlign w:val="bottom"/>
          </w:tcPr>
          <w:p w14:paraId="71B29CDE"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-166.39461</w:t>
            </w:r>
          </w:p>
        </w:tc>
        <w:tc>
          <w:tcPr>
            <w:tcW w:w="2975" w:type="dxa"/>
            <w:tcBorders>
              <w:top w:val="single" w:sz="2" w:space="0" w:color="A6A6A6"/>
              <w:left w:val="nil"/>
              <w:bottom w:val="single" w:sz="12" w:space="0" w:color="auto"/>
              <w:right w:val="nil"/>
            </w:tcBorders>
            <w:vAlign w:val="bottom"/>
          </w:tcPr>
          <w:p w14:paraId="6C38E3E3"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-6.84885</w:t>
            </w:r>
          </w:p>
        </w:tc>
      </w:tr>
      <w:tr w:rsidR="00A20FB6" w:rsidRPr="00F121D3" w14:paraId="44BD2FFF" w14:textId="77777777" w:rsidTr="00A20FB6">
        <w:tc>
          <w:tcPr>
            <w:tcW w:w="2411" w:type="dxa"/>
            <w:tcBorders>
              <w:top w:val="single" w:sz="12" w:space="0" w:color="auto"/>
              <w:left w:val="nil"/>
              <w:bottom w:val="nil"/>
              <w:right w:val="nil"/>
            </w:tcBorders>
          </w:tcPr>
          <w:p w14:paraId="4770CAC5" w14:textId="77777777" w:rsidR="00A20FB6" w:rsidRPr="00F121D3" w:rsidRDefault="00A20FB6" w:rsidP="00F121D3">
            <w:pPr>
              <w:spacing w:line="276" w:lineRule="auto"/>
              <w:jc w:val="both"/>
              <w:rPr>
                <w:rFonts w:eastAsia="Calibri"/>
                <w:i/>
                <w:lang w:val="de-DE" w:eastAsia="en-US"/>
              </w:rPr>
            </w:pPr>
            <w:proofErr w:type="spellStart"/>
            <w:r w:rsidRPr="00F121D3">
              <w:rPr>
                <w:rFonts w:eastAsia="Calibri"/>
                <w:i/>
                <w:lang w:val="de-DE" w:eastAsia="en-US"/>
              </w:rPr>
              <w:t>Poland</w:t>
            </w:r>
            <w:proofErr w:type="spellEnd"/>
          </w:p>
        </w:tc>
        <w:tc>
          <w:tcPr>
            <w:tcW w:w="1139" w:type="dxa"/>
            <w:tcBorders>
              <w:top w:val="single" w:sz="12" w:space="0" w:color="auto"/>
              <w:left w:val="nil"/>
              <w:bottom w:val="single" w:sz="2" w:space="0" w:color="A6A6A6"/>
              <w:right w:val="nil"/>
            </w:tcBorders>
          </w:tcPr>
          <w:p w14:paraId="4D1FC06E"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10</w:t>
            </w:r>
          </w:p>
        </w:tc>
        <w:tc>
          <w:tcPr>
            <w:tcW w:w="2411" w:type="dxa"/>
            <w:tcBorders>
              <w:top w:val="single" w:sz="12" w:space="0" w:color="auto"/>
              <w:left w:val="nil"/>
              <w:bottom w:val="single" w:sz="2" w:space="0" w:color="A6A6A6"/>
              <w:right w:val="nil"/>
            </w:tcBorders>
            <w:vAlign w:val="bottom"/>
          </w:tcPr>
          <w:p w14:paraId="56262622"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-165.03205</w:t>
            </w:r>
          </w:p>
        </w:tc>
        <w:tc>
          <w:tcPr>
            <w:tcW w:w="2975" w:type="dxa"/>
            <w:tcBorders>
              <w:top w:val="single" w:sz="12" w:space="0" w:color="auto"/>
              <w:left w:val="nil"/>
              <w:bottom w:val="single" w:sz="2" w:space="0" w:color="A6A6A6"/>
              <w:right w:val="nil"/>
            </w:tcBorders>
            <w:vAlign w:val="bottom"/>
          </w:tcPr>
          <w:p w14:paraId="1091CEF4"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-7.35019</w:t>
            </w:r>
          </w:p>
        </w:tc>
      </w:tr>
      <w:tr w:rsidR="00A20FB6" w:rsidRPr="00F121D3" w14:paraId="52A37B75" w14:textId="77777777" w:rsidTr="00A20FB6">
        <w:tc>
          <w:tcPr>
            <w:tcW w:w="2411" w:type="dxa"/>
            <w:tcBorders>
              <w:top w:val="nil"/>
              <w:left w:val="nil"/>
              <w:bottom w:val="nil"/>
              <w:right w:val="nil"/>
            </w:tcBorders>
          </w:tcPr>
          <w:p w14:paraId="28E71CCF"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2" w:space="0" w:color="A6A6A6"/>
              <w:right w:val="nil"/>
            </w:tcBorders>
          </w:tcPr>
          <w:p w14:paraId="4548FC81"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15</w:t>
            </w:r>
          </w:p>
        </w:tc>
        <w:tc>
          <w:tcPr>
            <w:tcW w:w="2411" w:type="dxa"/>
            <w:tcBorders>
              <w:top w:val="single" w:sz="2" w:space="0" w:color="A6A6A6"/>
              <w:left w:val="nil"/>
              <w:bottom w:val="single" w:sz="2" w:space="0" w:color="A6A6A6"/>
              <w:right w:val="nil"/>
            </w:tcBorders>
            <w:vAlign w:val="bottom"/>
          </w:tcPr>
          <w:p w14:paraId="1C0BA965"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-150.45946</w:t>
            </w:r>
          </w:p>
        </w:tc>
        <w:tc>
          <w:tcPr>
            <w:tcW w:w="2975" w:type="dxa"/>
            <w:tcBorders>
              <w:top w:val="single" w:sz="2" w:space="0" w:color="A6A6A6"/>
              <w:left w:val="nil"/>
              <w:bottom w:val="single" w:sz="2" w:space="0" w:color="A6A6A6"/>
              <w:right w:val="nil"/>
            </w:tcBorders>
            <w:vAlign w:val="bottom"/>
          </w:tcPr>
          <w:p w14:paraId="066E5AF1"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-7.47275</w:t>
            </w:r>
          </w:p>
        </w:tc>
      </w:tr>
      <w:tr w:rsidR="00A20FB6" w:rsidRPr="00F121D3" w14:paraId="385F00EF" w14:textId="77777777" w:rsidTr="00A20FB6">
        <w:tc>
          <w:tcPr>
            <w:tcW w:w="2411" w:type="dxa"/>
            <w:tcBorders>
              <w:top w:val="nil"/>
              <w:left w:val="nil"/>
              <w:bottom w:val="single" w:sz="12" w:space="0" w:color="auto"/>
              <w:right w:val="nil"/>
            </w:tcBorders>
          </w:tcPr>
          <w:p w14:paraId="64C42246"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12" w:space="0" w:color="auto"/>
              <w:right w:val="nil"/>
            </w:tcBorders>
          </w:tcPr>
          <w:p w14:paraId="5363D169"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20</w:t>
            </w:r>
          </w:p>
        </w:tc>
        <w:tc>
          <w:tcPr>
            <w:tcW w:w="2411" w:type="dxa"/>
            <w:tcBorders>
              <w:top w:val="single" w:sz="2" w:space="0" w:color="A6A6A6"/>
              <w:left w:val="nil"/>
              <w:bottom w:val="single" w:sz="12" w:space="0" w:color="auto"/>
              <w:right w:val="nil"/>
            </w:tcBorders>
            <w:vAlign w:val="bottom"/>
          </w:tcPr>
          <w:p w14:paraId="37659E42"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-154.68026</w:t>
            </w:r>
          </w:p>
        </w:tc>
        <w:tc>
          <w:tcPr>
            <w:tcW w:w="2975" w:type="dxa"/>
            <w:tcBorders>
              <w:top w:val="single" w:sz="2" w:space="0" w:color="A6A6A6"/>
              <w:left w:val="nil"/>
              <w:bottom w:val="single" w:sz="12" w:space="0" w:color="auto"/>
              <w:right w:val="nil"/>
            </w:tcBorders>
            <w:vAlign w:val="bottom"/>
          </w:tcPr>
          <w:p w14:paraId="50752025"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-7.48207</w:t>
            </w:r>
          </w:p>
        </w:tc>
      </w:tr>
      <w:tr w:rsidR="00A20FB6" w:rsidRPr="00F121D3" w14:paraId="4CF99016" w14:textId="77777777" w:rsidTr="00A20FB6">
        <w:tc>
          <w:tcPr>
            <w:tcW w:w="2411" w:type="dxa"/>
            <w:tcBorders>
              <w:top w:val="single" w:sz="12" w:space="0" w:color="auto"/>
              <w:left w:val="nil"/>
              <w:bottom w:val="nil"/>
              <w:right w:val="nil"/>
            </w:tcBorders>
          </w:tcPr>
          <w:p w14:paraId="2FB3B455" w14:textId="77777777" w:rsidR="00A20FB6" w:rsidRPr="00F121D3" w:rsidRDefault="00A20FB6" w:rsidP="00F121D3">
            <w:pPr>
              <w:spacing w:line="276" w:lineRule="auto"/>
              <w:jc w:val="both"/>
              <w:rPr>
                <w:rFonts w:eastAsia="Calibri"/>
                <w:i/>
                <w:lang w:val="de-DE" w:eastAsia="en-US"/>
              </w:rPr>
            </w:pPr>
            <w:proofErr w:type="spellStart"/>
            <w:r w:rsidRPr="00F121D3">
              <w:rPr>
                <w:rFonts w:eastAsia="Calibri"/>
                <w:i/>
                <w:lang w:val="de-DE" w:eastAsia="en-US"/>
              </w:rPr>
              <w:t>Sweden</w:t>
            </w:r>
            <w:proofErr w:type="spellEnd"/>
          </w:p>
        </w:tc>
        <w:tc>
          <w:tcPr>
            <w:tcW w:w="1139" w:type="dxa"/>
            <w:tcBorders>
              <w:top w:val="single" w:sz="12" w:space="0" w:color="auto"/>
              <w:left w:val="nil"/>
              <w:bottom w:val="single" w:sz="2" w:space="0" w:color="A6A6A6"/>
              <w:right w:val="nil"/>
            </w:tcBorders>
          </w:tcPr>
          <w:p w14:paraId="1C19DCC0"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10</w:t>
            </w:r>
          </w:p>
        </w:tc>
        <w:tc>
          <w:tcPr>
            <w:tcW w:w="2411" w:type="dxa"/>
            <w:tcBorders>
              <w:top w:val="single" w:sz="12" w:space="0" w:color="auto"/>
              <w:left w:val="nil"/>
              <w:bottom w:val="single" w:sz="2" w:space="0" w:color="A6A6A6"/>
              <w:right w:val="nil"/>
            </w:tcBorders>
            <w:vAlign w:val="bottom"/>
          </w:tcPr>
          <w:p w14:paraId="27366A3F"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-151.76783</w:t>
            </w:r>
          </w:p>
        </w:tc>
        <w:tc>
          <w:tcPr>
            <w:tcW w:w="2975" w:type="dxa"/>
            <w:tcBorders>
              <w:top w:val="single" w:sz="12" w:space="0" w:color="auto"/>
              <w:left w:val="nil"/>
              <w:bottom w:val="single" w:sz="2" w:space="0" w:color="A6A6A6"/>
              <w:right w:val="nil"/>
            </w:tcBorders>
            <w:vAlign w:val="bottom"/>
          </w:tcPr>
          <w:p w14:paraId="6D96CB13"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-7.83831</w:t>
            </w:r>
          </w:p>
        </w:tc>
      </w:tr>
      <w:tr w:rsidR="00A20FB6" w:rsidRPr="00F121D3" w14:paraId="66C082E1" w14:textId="77777777" w:rsidTr="00A20FB6">
        <w:tc>
          <w:tcPr>
            <w:tcW w:w="2411" w:type="dxa"/>
            <w:tcBorders>
              <w:top w:val="nil"/>
              <w:left w:val="nil"/>
              <w:bottom w:val="nil"/>
              <w:right w:val="nil"/>
            </w:tcBorders>
          </w:tcPr>
          <w:p w14:paraId="1D198352"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2" w:space="0" w:color="A6A6A6"/>
              <w:right w:val="nil"/>
            </w:tcBorders>
          </w:tcPr>
          <w:p w14:paraId="76CFA6C5"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15</w:t>
            </w:r>
          </w:p>
        </w:tc>
        <w:tc>
          <w:tcPr>
            <w:tcW w:w="2411" w:type="dxa"/>
            <w:tcBorders>
              <w:top w:val="single" w:sz="2" w:space="0" w:color="A6A6A6"/>
              <w:left w:val="nil"/>
              <w:bottom w:val="single" w:sz="2" w:space="0" w:color="A6A6A6"/>
              <w:right w:val="nil"/>
            </w:tcBorders>
            <w:vAlign w:val="bottom"/>
          </w:tcPr>
          <w:p w14:paraId="173DC66F"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-137.67071</w:t>
            </w:r>
          </w:p>
        </w:tc>
        <w:tc>
          <w:tcPr>
            <w:tcW w:w="2975" w:type="dxa"/>
            <w:tcBorders>
              <w:top w:val="single" w:sz="2" w:space="0" w:color="A6A6A6"/>
              <w:left w:val="nil"/>
              <w:bottom w:val="single" w:sz="2" w:space="0" w:color="A6A6A6"/>
              <w:right w:val="nil"/>
            </w:tcBorders>
            <w:vAlign w:val="bottom"/>
          </w:tcPr>
          <w:p w14:paraId="37F25556"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-7.96428</w:t>
            </w:r>
          </w:p>
        </w:tc>
      </w:tr>
      <w:tr w:rsidR="00A20FB6" w:rsidRPr="00F121D3" w14:paraId="137D53C8" w14:textId="77777777" w:rsidTr="00A20FB6">
        <w:tc>
          <w:tcPr>
            <w:tcW w:w="2411" w:type="dxa"/>
            <w:tcBorders>
              <w:top w:val="nil"/>
              <w:left w:val="nil"/>
              <w:bottom w:val="single" w:sz="12" w:space="0" w:color="auto"/>
              <w:right w:val="nil"/>
            </w:tcBorders>
          </w:tcPr>
          <w:p w14:paraId="0269EC40" w14:textId="77777777" w:rsidR="00A20FB6" w:rsidRPr="00F121D3" w:rsidRDefault="00A20FB6" w:rsidP="00F121D3">
            <w:pPr>
              <w:spacing w:line="276" w:lineRule="auto"/>
              <w:jc w:val="both"/>
              <w:rPr>
                <w:rFonts w:eastAsia="Calibri"/>
                <w:i/>
                <w:lang w:val="de-DE" w:eastAsia="en-US"/>
              </w:rPr>
            </w:pPr>
          </w:p>
        </w:tc>
        <w:tc>
          <w:tcPr>
            <w:tcW w:w="1139" w:type="dxa"/>
            <w:tcBorders>
              <w:top w:val="single" w:sz="2" w:space="0" w:color="A6A6A6"/>
              <w:left w:val="nil"/>
              <w:bottom w:val="single" w:sz="12" w:space="0" w:color="auto"/>
              <w:right w:val="nil"/>
            </w:tcBorders>
          </w:tcPr>
          <w:p w14:paraId="3499060D" w14:textId="77777777" w:rsidR="00A20FB6" w:rsidRPr="00F121D3" w:rsidRDefault="00A20FB6" w:rsidP="00F121D3">
            <w:pPr>
              <w:spacing w:line="276" w:lineRule="auto"/>
              <w:jc w:val="both"/>
              <w:rPr>
                <w:rFonts w:eastAsia="Calibri"/>
                <w:i/>
                <w:lang w:val="de-DE" w:eastAsia="en-US"/>
              </w:rPr>
            </w:pPr>
            <w:r w:rsidRPr="00F121D3">
              <w:rPr>
                <w:rFonts w:eastAsia="Calibri"/>
                <w:i/>
                <w:lang w:val="de-DE" w:eastAsia="en-US"/>
              </w:rPr>
              <w:t>20</w:t>
            </w:r>
          </w:p>
        </w:tc>
        <w:tc>
          <w:tcPr>
            <w:tcW w:w="2411" w:type="dxa"/>
            <w:tcBorders>
              <w:top w:val="single" w:sz="2" w:space="0" w:color="A6A6A6"/>
              <w:left w:val="nil"/>
              <w:bottom w:val="single" w:sz="12" w:space="0" w:color="auto"/>
              <w:right w:val="nil"/>
            </w:tcBorders>
            <w:vAlign w:val="bottom"/>
          </w:tcPr>
          <w:p w14:paraId="6D8A0068"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-149.70577</w:t>
            </w:r>
          </w:p>
        </w:tc>
        <w:tc>
          <w:tcPr>
            <w:tcW w:w="2975" w:type="dxa"/>
            <w:tcBorders>
              <w:top w:val="single" w:sz="2" w:space="0" w:color="A6A6A6"/>
              <w:left w:val="nil"/>
              <w:bottom w:val="single" w:sz="12" w:space="0" w:color="auto"/>
              <w:right w:val="nil"/>
            </w:tcBorders>
            <w:vAlign w:val="bottom"/>
          </w:tcPr>
          <w:p w14:paraId="623E84E6" w14:textId="77777777" w:rsidR="00A20FB6" w:rsidRPr="00F121D3" w:rsidRDefault="00A20FB6" w:rsidP="00F121D3">
            <w:pPr>
              <w:spacing w:line="276" w:lineRule="auto"/>
              <w:jc w:val="both"/>
              <w:rPr>
                <w:rFonts w:eastAsia="Calibri"/>
                <w:color w:val="000000"/>
                <w:lang w:val="de-DE" w:eastAsia="en-US"/>
              </w:rPr>
            </w:pPr>
            <w:r w:rsidRPr="00F121D3">
              <w:rPr>
                <w:rFonts w:eastAsia="Calibri"/>
                <w:color w:val="000000"/>
                <w:lang w:val="de-DE" w:eastAsia="en-US"/>
              </w:rPr>
              <w:t>-7.99612</w:t>
            </w:r>
          </w:p>
        </w:tc>
      </w:tr>
    </w:tbl>
    <w:p w14:paraId="4A03EC88" w14:textId="02B0AD3E" w:rsidR="00A20FB6" w:rsidRPr="00F121D3" w:rsidRDefault="00A20FB6" w:rsidP="00F121D3">
      <w:pPr>
        <w:spacing w:before="240" w:after="160" w:line="240" w:lineRule="auto"/>
        <w:jc w:val="both"/>
        <w:rPr>
          <w:rFonts w:eastAsia="Calibri"/>
          <w:sz w:val="20"/>
          <w:lang w:eastAsia="en-US"/>
        </w:rPr>
      </w:pPr>
      <w:r w:rsidRPr="00C601A6">
        <w:rPr>
          <w:rFonts w:eastAsia="Calibri"/>
          <w:vertAlign w:val="superscript"/>
          <w:lang w:eastAsia="en-US"/>
        </w:rPr>
        <w:t xml:space="preserve">1 </w:t>
      </w:r>
      <w:r w:rsidRPr="00F121D3">
        <w:rPr>
          <w:rFonts w:eastAsia="Calibri"/>
          <w:sz w:val="20"/>
          <w:lang w:eastAsia="en-US"/>
        </w:rPr>
        <w:t>Numbers closer to zero indicate higher coherence. Semantic coherence measures topic quality based on the co-</w:t>
      </w:r>
      <w:proofErr w:type="spellStart"/>
      <w:r w:rsidRPr="00F121D3">
        <w:rPr>
          <w:rFonts w:eastAsia="Calibri"/>
          <w:sz w:val="20"/>
          <w:lang w:eastAsia="en-US"/>
        </w:rPr>
        <w:t>occurence</w:t>
      </w:r>
      <w:proofErr w:type="spellEnd"/>
      <w:r w:rsidRPr="00F121D3">
        <w:rPr>
          <w:rFonts w:eastAsia="Calibri"/>
          <w:sz w:val="20"/>
          <w:lang w:eastAsia="en-US"/>
        </w:rPr>
        <w:t xml:space="preserve"> of words and has been found to correlate well with human judgement of topic </w:t>
      </w:r>
      <w:r w:rsidR="00F11537">
        <w:rPr>
          <w:rFonts w:eastAsia="Calibri"/>
          <w:sz w:val="20"/>
          <w:lang w:eastAsia="en-US"/>
        </w:rPr>
        <w:t>quality</w:t>
      </w:r>
      <w:r w:rsidR="00C601A6">
        <w:rPr>
          <w:rFonts w:eastAsia="Calibri"/>
          <w:sz w:val="20"/>
          <w:lang w:eastAsia="en-US"/>
        </w:rPr>
        <w:t xml:space="preserve"> (</w:t>
      </w:r>
      <w:proofErr w:type="spellStart"/>
      <w:r w:rsidR="00C601A6">
        <w:rPr>
          <w:rFonts w:eastAsia="Calibri"/>
          <w:sz w:val="20"/>
          <w:lang w:eastAsia="en-US"/>
        </w:rPr>
        <w:t>Mimno</w:t>
      </w:r>
      <w:proofErr w:type="spellEnd"/>
      <w:r w:rsidR="00C601A6">
        <w:rPr>
          <w:rFonts w:eastAsia="Calibri"/>
          <w:sz w:val="20"/>
          <w:lang w:eastAsia="en-US"/>
        </w:rPr>
        <w:t xml:space="preserve"> et al., 2011).</w:t>
      </w:r>
    </w:p>
    <w:p w14:paraId="6D1AE6C9" w14:textId="34F0CD0E" w:rsidR="00A20FB6" w:rsidRPr="00C601A6" w:rsidRDefault="00A20FB6" w:rsidP="00C601A6">
      <w:pPr>
        <w:spacing w:after="160" w:line="240" w:lineRule="auto"/>
        <w:jc w:val="both"/>
        <w:rPr>
          <w:rFonts w:eastAsia="Calibri"/>
          <w:lang w:eastAsia="en-US"/>
        </w:rPr>
      </w:pPr>
      <w:r w:rsidRPr="00C601A6">
        <w:rPr>
          <w:rFonts w:eastAsia="Calibri"/>
          <w:vertAlign w:val="superscript"/>
          <w:lang w:eastAsia="en-US"/>
        </w:rPr>
        <w:t xml:space="preserve">2 </w:t>
      </w:r>
      <w:proofErr w:type="spellStart"/>
      <w:r w:rsidRPr="00F121D3">
        <w:rPr>
          <w:rFonts w:eastAsia="Calibri"/>
          <w:sz w:val="20"/>
          <w:lang w:eastAsia="en-US"/>
        </w:rPr>
        <w:t>Heldout</w:t>
      </w:r>
      <w:proofErr w:type="spellEnd"/>
      <w:r w:rsidRPr="00F121D3">
        <w:rPr>
          <w:rFonts w:eastAsia="Calibri"/>
          <w:sz w:val="20"/>
          <w:lang w:eastAsia="en-US"/>
        </w:rPr>
        <w:t xml:space="preserve"> likelihood is a measure for how well topics generalize to unseen documents. On average, higher values indicate better models</w:t>
      </w:r>
      <w:r w:rsidR="00C601A6">
        <w:rPr>
          <w:rFonts w:eastAsia="Calibri"/>
          <w:sz w:val="20"/>
          <w:lang w:eastAsia="en-US"/>
        </w:rPr>
        <w:t xml:space="preserve"> (Wallach et al., 2009). </w:t>
      </w:r>
      <w:r w:rsidRPr="00F121D3">
        <w:rPr>
          <w:rFonts w:eastAsia="Calibri"/>
          <w:sz w:val="20"/>
          <w:lang w:eastAsia="en-US"/>
        </w:rPr>
        <w:t xml:space="preserve">However, </w:t>
      </w:r>
      <w:proofErr w:type="spellStart"/>
      <w:r w:rsidRPr="00F121D3">
        <w:rPr>
          <w:rFonts w:eastAsia="Calibri"/>
          <w:sz w:val="20"/>
          <w:lang w:eastAsia="en-US"/>
        </w:rPr>
        <w:t>heldout</w:t>
      </w:r>
      <w:proofErr w:type="spellEnd"/>
      <w:r w:rsidRPr="00F121D3">
        <w:rPr>
          <w:rFonts w:eastAsia="Calibri"/>
          <w:sz w:val="20"/>
          <w:lang w:eastAsia="en-US"/>
        </w:rPr>
        <w:t xml:space="preserve"> likelihood has been found to not be a good predictor for human interpretability of topics when evaluated on i</w:t>
      </w:r>
      <w:r w:rsidR="00C601A6">
        <w:rPr>
          <w:rFonts w:eastAsia="Calibri"/>
          <w:sz w:val="20"/>
          <w:lang w:eastAsia="en-US"/>
        </w:rPr>
        <w:t>ts</w:t>
      </w:r>
      <w:r w:rsidRPr="00F121D3">
        <w:rPr>
          <w:rFonts w:eastAsia="Calibri"/>
          <w:sz w:val="20"/>
          <w:lang w:eastAsia="en-US"/>
        </w:rPr>
        <w:t xml:space="preserve"> own</w:t>
      </w:r>
      <w:r w:rsidR="00C601A6">
        <w:rPr>
          <w:rFonts w:eastAsia="Calibri"/>
          <w:sz w:val="20"/>
          <w:lang w:eastAsia="en-US"/>
        </w:rPr>
        <w:t xml:space="preserve"> (Chang et al., 2009)</w:t>
      </w:r>
      <w:r w:rsidRPr="00F121D3">
        <w:rPr>
          <w:rFonts w:eastAsia="Calibri"/>
          <w:sz w:val="20"/>
          <w:lang w:eastAsia="en-US"/>
        </w:rPr>
        <w:t>.</w:t>
      </w:r>
    </w:p>
    <w:p w14:paraId="7D49A5AE" w14:textId="77777777" w:rsidR="00C601A6" w:rsidRDefault="00C601A6" w:rsidP="00C601A6">
      <w:pPr>
        <w:pStyle w:val="StandardWeb"/>
        <w:spacing w:line="480" w:lineRule="auto"/>
        <w:ind w:left="480" w:hanging="480"/>
        <w:jc w:val="both"/>
        <w:rPr>
          <w:b/>
          <w:lang w:val="en-US"/>
        </w:rPr>
      </w:pPr>
    </w:p>
    <w:p w14:paraId="4EC6E716" w14:textId="097F8CCF" w:rsidR="00C601A6" w:rsidRPr="00C601A6" w:rsidRDefault="00C601A6" w:rsidP="00C601A6">
      <w:pPr>
        <w:pStyle w:val="StandardWeb"/>
        <w:spacing w:line="480" w:lineRule="auto"/>
        <w:ind w:left="480" w:hanging="480"/>
        <w:jc w:val="both"/>
        <w:rPr>
          <w:b/>
          <w:lang w:val="en-US"/>
        </w:rPr>
      </w:pPr>
      <w:r w:rsidRPr="00C601A6">
        <w:rPr>
          <w:b/>
          <w:lang w:val="en-US"/>
        </w:rPr>
        <w:t>References</w:t>
      </w:r>
    </w:p>
    <w:p w14:paraId="74B757B8" w14:textId="77777777" w:rsidR="00C601A6" w:rsidRPr="00C601A6" w:rsidRDefault="00C601A6" w:rsidP="00C601A6">
      <w:pPr>
        <w:pStyle w:val="StandardWeb"/>
        <w:spacing w:line="480" w:lineRule="auto"/>
        <w:ind w:left="480" w:hanging="480"/>
        <w:jc w:val="both"/>
        <w:rPr>
          <w:lang w:val="en-US"/>
        </w:rPr>
      </w:pPr>
      <w:r w:rsidRPr="00C601A6">
        <w:rPr>
          <w:lang w:val="en-US"/>
        </w:rPr>
        <w:t xml:space="preserve">Chang, J., Boyd-Graber, J., Wang, C., Gerrish, S., &amp; </w:t>
      </w:r>
      <w:proofErr w:type="spellStart"/>
      <w:r w:rsidRPr="00C601A6">
        <w:rPr>
          <w:lang w:val="en-US"/>
        </w:rPr>
        <w:t>Blei</w:t>
      </w:r>
      <w:proofErr w:type="spellEnd"/>
      <w:r w:rsidRPr="00C601A6">
        <w:rPr>
          <w:lang w:val="en-US"/>
        </w:rPr>
        <w:t xml:space="preserve">, D. M. (2009). Reading tea leaves: How humans interpret topic models. </w:t>
      </w:r>
      <w:r w:rsidRPr="00C601A6">
        <w:rPr>
          <w:i/>
          <w:iCs/>
          <w:lang w:val="en-US"/>
        </w:rPr>
        <w:t>Neural Information Processing Systems</w:t>
      </w:r>
      <w:r w:rsidRPr="00C601A6">
        <w:rPr>
          <w:lang w:val="en-US"/>
        </w:rPr>
        <w:t xml:space="preserve">, </w:t>
      </w:r>
      <w:r w:rsidRPr="00C601A6">
        <w:rPr>
          <w:i/>
          <w:iCs/>
          <w:lang w:val="en-US"/>
        </w:rPr>
        <w:t>22</w:t>
      </w:r>
      <w:r w:rsidRPr="00C601A6">
        <w:rPr>
          <w:lang w:val="en-US"/>
        </w:rPr>
        <w:t xml:space="preserve">, 288–296. http://users.umiacs.umd.edu/~jbg/docs/nips2009-rtl.pdf </w:t>
      </w:r>
    </w:p>
    <w:p w14:paraId="7944719F" w14:textId="38AD1ACA" w:rsidR="00C601A6" w:rsidRPr="00C601A6" w:rsidRDefault="00C601A6" w:rsidP="00C601A6">
      <w:pPr>
        <w:pStyle w:val="StandardWeb"/>
        <w:spacing w:line="480" w:lineRule="auto"/>
        <w:ind w:left="480" w:hanging="480"/>
        <w:jc w:val="both"/>
        <w:rPr>
          <w:lang w:val="en-US"/>
        </w:rPr>
      </w:pPr>
      <w:r w:rsidRPr="00C601A6">
        <w:rPr>
          <w:lang w:val="en-US"/>
        </w:rPr>
        <w:lastRenderedPageBreak/>
        <w:t xml:space="preserve"> </w:t>
      </w:r>
      <w:proofErr w:type="spellStart"/>
      <w:r w:rsidRPr="00C601A6">
        <w:rPr>
          <w:lang w:val="en-US"/>
        </w:rPr>
        <w:t>Mimno</w:t>
      </w:r>
      <w:proofErr w:type="spellEnd"/>
      <w:r w:rsidRPr="00C601A6">
        <w:rPr>
          <w:lang w:val="en-US"/>
        </w:rPr>
        <w:t xml:space="preserve">, D., Wallach, H. M., Talley, E., </w:t>
      </w:r>
      <w:proofErr w:type="spellStart"/>
      <w:r w:rsidRPr="00C601A6">
        <w:rPr>
          <w:lang w:val="en-US"/>
        </w:rPr>
        <w:t>Leenders</w:t>
      </w:r>
      <w:proofErr w:type="spellEnd"/>
      <w:r w:rsidRPr="00C601A6">
        <w:rPr>
          <w:lang w:val="en-US"/>
        </w:rPr>
        <w:t xml:space="preserve">, M., &amp; McCallum, A. (2011). Optimizing Semantic Coherence in Topic Models. </w:t>
      </w:r>
      <w:r w:rsidRPr="00C601A6">
        <w:rPr>
          <w:i/>
          <w:iCs/>
          <w:lang w:val="en-US"/>
        </w:rPr>
        <w:t>Conference on Empirical Methods in Natural Language Processing</w:t>
      </w:r>
      <w:r w:rsidRPr="00C601A6">
        <w:rPr>
          <w:lang w:val="en-US"/>
        </w:rPr>
        <w:t>, 262–272. http://dirichlet.net/pdf/mimno11optimizing.pdf</w:t>
      </w:r>
    </w:p>
    <w:p w14:paraId="1FCA5153" w14:textId="77777777" w:rsidR="00C601A6" w:rsidRPr="00C601A6" w:rsidRDefault="00C601A6" w:rsidP="00C601A6">
      <w:pPr>
        <w:pStyle w:val="StandardWeb"/>
        <w:spacing w:line="480" w:lineRule="auto"/>
        <w:ind w:left="480" w:hanging="480"/>
        <w:jc w:val="both"/>
        <w:rPr>
          <w:lang w:val="en-US"/>
        </w:rPr>
      </w:pPr>
      <w:r w:rsidRPr="00C601A6">
        <w:rPr>
          <w:lang w:val="en-US"/>
        </w:rPr>
        <w:t xml:space="preserve">Wallach, H. M., Murray, I., </w:t>
      </w:r>
      <w:proofErr w:type="spellStart"/>
      <w:r w:rsidRPr="00C601A6">
        <w:rPr>
          <w:lang w:val="en-US"/>
        </w:rPr>
        <w:t>Salakhutdinov</w:t>
      </w:r>
      <w:proofErr w:type="spellEnd"/>
      <w:r w:rsidRPr="00C601A6">
        <w:rPr>
          <w:lang w:val="en-US"/>
        </w:rPr>
        <w:t xml:space="preserve">, R., &amp; </w:t>
      </w:r>
      <w:proofErr w:type="spellStart"/>
      <w:r w:rsidRPr="00C601A6">
        <w:rPr>
          <w:lang w:val="en-US"/>
        </w:rPr>
        <w:t>Mimno</w:t>
      </w:r>
      <w:proofErr w:type="spellEnd"/>
      <w:r w:rsidRPr="00C601A6">
        <w:rPr>
          <w:lang w:val="en-US"/>
        </w:rPr>
        <w:t xml:space="preserve">, D. (2009). Evaluation methods for topic models. </w:t>
      </w:r>
      <w:r w:rsidRPr="00C601A6">
        <w:rPr>
          <w:i/>
          <w:iCs/>
          <w:lang w:val="en-US"/>
        </w:rPr>
        <w:t>26th International Conference on Machine Learning (ICML)</w:t>
      </w:r>
      <w:r w:rsidRPr="00C601A6">
        <w:rPr>
          <w:lang w:val="en-US"/>
        </w:rPr>
        <w:t>. https://www.cs.cmu.edu/~rsalakhu/papers/etm.pdf</w:t>
      </w:r>
    </w:p>
    <w:p w14:paraId="32C63C01" w14:textId="77777777" w:rsidR="00C601A6" w:rsidRPr="00C601A6" w:rsidRDefault="00C601A6" w:rsidP="00C601A6">
      <w:pPr>
        <w:jc w:val="both"/>
        <w:rPr>
          <w:rFonts w:eastAsia="Calibri"/>
          <w:b/>
          <w:lang w:val="en-US"/>
        </w:rPr>
      </w:pPr>
    </w:p>
    <w:sectPr w:rsidR="00C601A6" w:rsidRPr="00C601A6" w:rsidSect="004B567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F3DD70" w14:textId="77777777" w:rsidR="00FB021D" w:rsidRDefault="00FB021D">
      <w:pPr>
        <w:spacing w:line="240" w:lineRule="auto"/>
      </w:pPr>
      <w:r>
        <w:separator/>
      </w:r>
    </w:p>
  </w:endnote>
  <w:endnote w:type="continuationSeparator" w:id="0">
    <w:p w14:paraId="7C2B9E68" w14:textId="77777777" w:rsidR="00FB021D" w:rsidRDefault="00FB02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82397792"/>
      <w:docPartObj>
        <w:docPartGallery w:val="Page Numbers (Bottom of Page)"/>
        <w:docPartUnique/>
      </w:docPartObj>
    </w:sdtPr>
    <w:sdtEndPr/>
    <w:sdtContent>
      <w:p w14:paraId="0ADC4BB4" w14:textId="7B4D3721" w:rsidR="006A4C08" w:rsidRDefault="006A4C08">
        <w:pPr>
          <w:pStyle w:val="Fuzeile"/>
          <w:jc w:val="center"/>
        </w:pPr>
        <w:r>
          <w:fldChar w:fldCharType="begin"/>
        </w:r>
        <w:r>
          <w:instrText>PAGE   \* MERGEFORMAT</w:instrText>
        </w:r>
        <w:r>
          <w:fldChar w:fldCharType="separate"/>
        </w:r>
        <w:r>
          <w:rPr>
            <w:lang w:val="de-DE"/>
          </w:rPr>
          <w:t>2</w:t>
        </w:r>
        <w:r>
          <w:fldChar w:fldCharType="end"/>
        </w:r>
      </w:p>
    </w:sdtContent>
  </w:sdt>
  <w:p w14:paraId="5345850C" w14:textId="77777777" w:rsidR="006A4C08" w:rsidRDefault="006A4C0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EE3B05" w14:textId="77777777" w:rsidR="00FB021D" w:rsidRDefault="00FB021D">
      <w:pPr>
        <w:spacing w:line="240" w:lineRule="auto"/>
      </w:pPr>
      <w:r>
        <w:separator/>
      </w:r>
    </w:p>
  </w:footnote>
  <w:footnote w:type="continuationSeparator" w:id="0">
    <w:p w14:paraId="42C0C2AD" w14:textId="77777777" w:rsidR="00FB021D" w:rsidRDefault="00FB021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activeWritingStyle w:appName="MSWord" w:lang="de-DE"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de-DE"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CQnNLCwtDIyMjCwMjQyUdpeDU4uLM/DyQAkPDWgByGcjvLQAAAA=="/>
  </w:docVars>
  <w:rsids>
    <w:rsidRoot w:val="00840D3A"/>
    <w:rsid w:val="00061FE8"/>
    <w:rsid w:val="000E2A68"/>
    <w:rsid w:val="00134EBB"/>
    <w:rsid w:val="00163D98"/>
    <w:rsid w:val="00193A64"/>
    <w:rsid w:val="001941B1"/>
    <w:rsid w:val="001A0643"/>
    <w:rsid w:val="00212764"/>
    <w:rsid w:val="0025459C"/>
    <w:rsid w:val="00265D3B"/>
    <w:rsid w:val="0029056E"/>
    <w:rsid w:val="003333E4"/>
    <w:rsid w:val="003B49B7"/>
    <w:rsid w:val="003C539E"/>
    <w:rsid w:val="0047077C"/>
    <w:rsid w:val="004B5672"/>
    <w:rsid w:val="004C45DB"/>
    <w:rsid w:val="00564084"/>
    <w:rsid w:val="005A21B8"/>
    <w:rsid w:val="005B0D3E"/>
    <w:rsid w:val="0063182C"/>
    <w:rsid w:val="006A4C08"/>
    <w:rsid w:val="00737EB8"/>
    <w:rsid w:val="007D0786"/>
    <w:rsid w:val="00840D3A"/>
    <w:rsid w:val="008770D4"/>
    <w:rsid w:val="008C0E2C"/>
    <w:rsid w:val="008D6954"/>
    <w:rsid w:val="008D7B40"/>
    <w:rsid w:val="00910FC4"/>
    <w:rsid w:val="00927D02"/>
    <w:rsid w:val="0094773C"/>
    <w:rsid w:val="009477C9"/>
    <w:rsid w:val="009663E0"/>
    <w:rsid w:val="009722C2"/>
    <w:rsid w:val="00A20FB6"/>
    <w:rsid w:val="00BB1E84"/>
    <w:rsid w:val="00BE3B86"/>
    <w:rsid w:val="00C601A6"/>
    <w:rsid w:val="00CC6A31"/>
    <w:rsid w:val="00CF105A"/>
    <w:rsid w:val="00CF4EBD"/>
    <w:rsid w:val="00D13001"/>
    <w:rsid w:val="00D72B37"/>
    <w:rsid w:val="00D97F17"/>
    <w:rsid w:val="00DA1391"/>
    <w:rsid w:val="00DB2724"/>
    <w:rsid w:val="00E151C8"/>
    <w:rsid w:val="00E55CF8"/>
    <w:rsid w:val="00E65E98"/>
    <w:rsid w:val="00F0472F"/>
    <w:rsid w:val="00F11537"/>
    <w:rsid w:val="00F121D3"/>
    <w:rsid w:val="00F45B89"/>
    <w:rsid w:val="00F70823"/>
    <w:rsid w:val="00FB021D"/>
    <w:rsid w:val="00FE7A1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5E5DC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40D3A"/>
    <w:pPr>
      <w:spacing w:after="0" w:line="480" w:lineRule="auto"/>
    </w:pPr>
    <w:rPr>
      <w:rFonts w:ascii="Times New Roman" w:eastAsia="Times New Roman" w:hAnsi="Times New Roman" w:cs="Times New Roman"/>
      <w:sz w:val="24"/>
      <w:szCs w:val="24"/>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840D3A"/>
    <w:pPr>
      <w:tabs>
        <w:tab w:val="center" w:pos="4320"/>
        <w:tab w:val="right" w:pos="8640"/>
      </w:tabs>
      <w:spacing w:before="240" w:line="240" w:lineRule="auto"/>
      <w:contextualSpacing/>
    </w:pPr>
  </w:style>
  <w:style w:type="character" w:customStyle="1" w:styleId="FuzeileZchn">
    <w:name w:val="Fußzeile Zchn"/>
    <w:basedOn w:val="Absatz-Standardschriftart"/>
    <w:link w:val="Fuzeile"/>
    <w:uiPriority w:val="99"/>
    <w:rsid w:val="00840D3A"/>
    <w:rPr>
      <w:rFonts w:ascii="Times New Roman" w:eastAsia="Times New Roman" w:hAnsi="Times New Roman" w:cs="Times New Roman"/>
      <w:sz w:val="24"/>
      <w:szCs w:val="24"/>
      <w:lang w:val="en-GB" w:eastAsia="en-GB"/>
    </w:rPr>
  </w:style>
  <w:style w:type="table" w:styleId="Tabellenraster">
    <w:name w:val="Table Grid"/>
    <w:basedOn w:val="NormaleTabelle"/>
    <w:uiPriority w:val="39"/>
    <w:rsid w:val="00840D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m1bxt-cbxb">
    <w:name w:val="gm1bxt-cbxb"/>
    <w:basedOn w:val="Absatz-Standardschriftart"/>
    <w:rsid w:val="00840D3A"/>
  </w:style>
  <w:style w:type="paragraph" w:styleId="Sprechblasentext">
    <w:name w:val="Balloon Text"/>
    <w:basedOn w:val="Standard"/>
    <w:link w:val="SprechblasentextZchn"/>
    <w:uiPriority w:val="99"/>
    <w:semiHidden/>
    <w:unhideWhenUsed/>
    <w:rsid w:val="008C0E2C"/>
    <w:pPr>
      <w:spacing w:line="240" w:lineRule="auto"/>
    </w:pPr>
    <w:rPr>
      <w:sz w:val="18"/>
      <w:szCs w:val="18"/>
    </w:rPr>
  </w:style>
  <w:style w:type="character" w:customStyle="1" w:styleId="SprechblasentextZchn">
    <w:name w:val="Sprechblasentext Zchn"/>
    <w:basedOn w:val="Absatz-Standardschriftart"/>
    <w:link w:val="Sprechblasentext"/>
    <w:uiPriority w:val="99"/>
    <w:semiHidden/>
    <w:rsid w:val="008C0E2C"/>
    <w:rPr>
      <w:rFonts w:ascii="Times New Roman" w:eastAsia="Times New Roman" w:hAnsi="Times New Roman" w:cs="Times New Roman"/>
      <w:sz w:val="18"/>
      <w:szCs w:val="18"/>
      <w:lang w:val="en-GB" w:eastAsia="en-GB"/>
    </w:rPr>
  </w:style>
  <w:style w:type="character" w:styleId="Kommentarzeichen">
    <w:name w:val="annotation reference"/>
    <w:basedOn w:val="Absatz-Standardschriftart"/>
    <w:uiPriority w:val="99"/>
    <w:semiHidden/>
    <w:unhideWhenUsed/>
    <w:rsid w:val="00F70823"/>
    <w:rPr>
      <w:sz w:val="16"/>
      <w:szCs w:val="16"/>
    </w:rPr>
  </w:style>
  <w:style w:type="paragraph" w:styleId="Kommentartext">
    <w:name w:val="annotation text"/>
    <w:basedOn w:val="Standard"/>
    <w:link w:val="KommentartextZchn"/>
    <w:uiPriority w:val="99"/>
    <w:semiHidden/>
    <w:unhideWhenUsed/>
    <w:rsid w:val="00F7082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70823"/>
    <w:rPr>
      <w:rFonts w:ascii="Times New Roman" w:eastAsia="Times New Roman" w:hAnsi="Times New Roman" w:cs="Times New Roman"/>
      <w:sz w:val="20"/>
      <w:szCs w:val="20"/>
      <w:lang w:val="en-GB" w:eastAsia="en-GB"/>
    </w:rPr>
  </w:style>
  <w:style w:type="paragraph" w:styleId="Kommentarthema">
    <w:name w:val="annotation subject"/>
    <w:basedOn w:val="Kommentartext"/>
    <w:next w:val="Kommentartext"/>
    <w:link w:val="KommentarthemaZchn"/>
    <w:uiPriority w:val="99"/>
    <w:semiHidden/>
    <w:unhideWhenUsed/>
    <w:rsid w:val="00F70823"/>
    <w:rPr>
      <w:b/>
      <w:bCs/>
    </w:rPr>
  </w:style>
  <w:style w:type="character" w:customStyle="1" w:styleId="KommentarthemaZchn">
    <w:name w:val="Kommentarthema Zchn"/>
    <w:basedOn w:val="KommentartextZchn"/>
    <w:link w:val="Kommentarthema"/>
    <w:uiPriority w:val="99"/>
    <w:semiHidden/>
    <w:rsid w:val="00F70823"/>
    <w:rPr>
      <w:rFonts w:ascii="Times New Roman" w:eastAsia="Times New Roman" w:hAnsi="Times New Roman" w:cs="Times New Roman"/>
      <w:b/>
      <w:bCs/>
      <w:sz w:val="20"/>
      <w:szCs w:val="20"/>
      <w:lang w:val="en-GB" w:eastAsia="en-GB"/>
    </w:rPr>
  </w:style>
  <w:style w:type="paragraph" w:styleId="Kopfzeile">
    <w:name w:val="header"/>
    <w:basedOn w:val="Standard"/>
    <w:link w:val="KopfzeileZchn"/>
    <w:uiPriority w:val="99"/>
    <w:unhideWhenUsed/>
    <w:rsid w:val="00265D3B"/>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265D3B"/>
    <w:rPr>
      <w:rFonts w:ascii="Times New Roman" w:eastAsia="Times New Roman" w:hAnsi="Times New Roman" w:cs="Times New Roman"/>
      <w:sz w:val="24"/>
      <w:szCs w:val="24"/>
      <w:lang w:val="en-GB" w:eastAsia="en-GB"/>
    </w:rPr>
  </w:style>
  <w:style w:type="character" w:styleId="Hyperlink">
    <w:name w:val="Hyperlink"/>
    <w:basedOn w:val="Absatz-Standardschriftart"/>
    <w:uiPriority w:val="99"/>
    <w:unhideWhenUsed/>
    <w:rsid w:val="0047077C"/>
    <w:rPr>
      <w:color w:val="0563C1" w:themeColor="hyperlink"/>
      <w:u w:val="single"/>
    </w:rPr>
  </w:style>
  <w:style w:type="table" w:customStyle="1" w:styleId="Tabellenraster1">
    <w:name w:val="Tabellenraster1"/>
    <w:basedOn w:val="NormaleTabelle"/>
    <w:next w:val="Tabellenraster"/>
    <w:uiPriority w:val="39"/>
    <w:rsid w:val="00A20F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Link">
    <w:name w:val="FollowedHyperlink"/>
    <w:basedOn w:val="Absatz-Standardschriftart"/>
    <w:uiPriority w:val="99"/>
    <w:semiHidden/>
    <w:unhideWhenUsed/>
    <w:rsid w:val="00F121D3"/>
    <w:rPr>
      <w:color w:val="954F72" w:themeColor="followedHyperlink"/>
      <w:u w:val="single"/>
    </w:rPr>
  </w:style>
  <w:style w:type="paragraph" w:styleId="StandardWeb">
    <w:name w:val="Normal (Web)"/>
    <w:basedOn w:val="Standard"/>
    <w:uiPriority w:val="99"/>
    <w:semiHidden/>
    <w:unhideWhenUsed/>
    <w:rsid w:val="00C601A6"/>
    <w:pPr>
      <w:spacing w:before="100" w:beforeAutospacing="1" w:after="100" w:afterAutospacing="1" w:line="240" w:lineRule="auto"/>
    </w:pPr>
    <w:rPr>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069661">
      <w:bodyDiv w:val="1"/>
      <w:marLeft w:val="0"/>
      <w:marRight w:val="0"/>
      <w:marTop w:val="0"/>
      <w:marBottom w:val="0"/>
      <w:divBdr>
        <w:top w:val="none" w:sz="0" w:space="0" w:color="auto"/>
        <w:left w:val="none" w:sz="0" w:space="0" w:color="auto"/>
        <w:bottom w:val="none" w:sz="0" w:space="0" w:color="auto"/>
        <w:right w:val="none" w:sz="0" w:space="0" w:color="auto"/>
      </w:divBdr>
    </w:div>
    <w:div w:id="558787785">
      <w:bodyDiv w:val="1"/>
      <w:marLeft w:val="0"/>
      <w:marRight w:val="0"/>
      <w:marTop w:val="0"/>
      <w:marBottom w:val="0"/>
      <w:divBdr>
        <w:top w:val="none" w:sz="0" w:space="0" w:color="auto"/>
        <w:left w:val="none" w:sz="0" w:space="0" w:color="auto"/>
        <w:bottom w:val="none" w:sz="0" w:space="0" w:color="auto"/>
        <w:right w:val="none" w:sz="0" w:space="0" w:color="auto"/>
      </w:divBdr>
    </w:div>
    <w:div w:id="750197803">
      <w:bodyDiv w:val="1"/>
      <w:marLeft w:val="0"/>
      <w:marRight w:val="0"/>
      <w:marTop w:val="0"/>
      <w:marBottom w:val="0"/>
      <w:divBdr>
        <w:top w:val="none" w:sz="0" w:space="0" w:color="auto"/>
        <w:left w:val="none" w:sz="0" w:space="0" w:color="auto"/>
        <w:bottom w:val="none" w:sz="0" w:space="0" w:color="auto"/>
        <w:right w:val="none" w:sz="0" w:space="0" w:color="auto"/>
      </w:divBdr>
    </w:div>
    <w:div w:id="890307585">
      <w:bodyDiv w:val="1"/>
      <w:marLeft w:val="0"/>
      <w:marRight w:val="0"/>
      <w:marTop w:val="0"/>
      <w:marBottom w:val="0"/>
      <w:divBdr>
        <w:top w:val="none" w:sz="0" w:space="0" w:color="auto"/>
        <w:left w:val="none" w:sz="0" w:space="0" w:color="auto"/>
        <w:bottom w:val="none" w:sz="0" w:space="0" w:color="auto"/>
        <w:right w:val="none" w:sz="0" w:space="0" w:color="auto"/>
      </w:divBdr>
    </w:div>
    <w:div w:id="1326973556">
      <w:bodyDiv w:val="1"/>
      <w:marLeft w:val="0"/>
      <w:marRight w:val="0"/>
      <w:marTop w:val="0"/>
      <w:marBottom w:val="0"/>
      <w:divBdr>
        <w:top w:val="none" w:sz="0" w:space="0" w:color="auto"/>
        <w:left w:val="none" w:sz="0" w:space="0" w:color="auto"/>
        <w:bottom w:val="none" w:sz="0" w:space="0" w:color="auto"/>
        <w:right w:val="none" w:sz="0" w:space="0" w:color="auto"/>
      </w:divBdr>
    </w:div>
    <w:div w:id="1476949821">
      <w:bodyDiv w:val="1"/>
      <w:marLeft w:val="0"/>
      <w:marRight w:val="0"/>
      <w:marTop w:val="0"/>
      <w:marBottom w:val="0"/>
      <w:divBdr>
        <w:top w:val="none" w:sz="0" w:space="0" w:color="auto"/>
        <w:left w:val="none" w:sz="0" w:space="0" w:color="auto"/>
        <w:bottom w:val="none" w:sz="0" w:space="0" w:color="auto"/>
        <w:right w:val="none" w:sz="0" w:space="0" w:color="auto"/>
      </w:divBdr>
    </w:div>
    <w:div w:id="1686898906">
      <w:bodyDiv w:val="1"/>
      <w:marLeft w:val="0"/>
      <w:marRight w:val="0"/>
      <w:marTop w:val="0"/>
      <w:marBottom w:val="0"/>
      <w:divBdr>
        <w:top w:val="none" w:sz="0" w:space="0" w:color="auto"/>
        <w:left w:val="none" w:sz="0" w:space="0" w:color="auto"/>
        <w:bottom w:val="none" w:sz="0" w:space="0" w:color="auto"/>
        <w:right w:val="none" w:sz="0" w:space="0" w:color="auto"/>
      </w:divBdr>
    </w:div>
    <w:div w:id="1705330343">
      <w:bodyDiv w:val="1"/>
      <w:marLeft w:val="0"/>
      <w:marRight w:val="0"/>
      <w:marTop w:val="0"/>
      <w:marBottom w:val="0"/>
      <w:divBdr>
        <w:top w:val="none" w:sz="0" w:space="0" w:color="auto"/>
        <w:left w:val="none" w:sz="0" w:space="0" w:color="auto"/>
        <w:bottom w:val="none" w:sz="0" w:space="0" w:color="auto"/>
        <w:right w:val="none" w:sz="0" w:space="0" w:color="auto"/>
      </w:divBdr>
    </w:div>
    <w:div w:id="1765877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8860E5-71ED-4B0C-8835-C309B19EF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16667</Words>
  <Characters>105008</Characters>
  <Application>Microsoft Office Word</Application>
  <DocSecurity>0</DocSecurity>
  <Lines>875</Lines>
  <Paragraphs>242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2022-02-18T16:01:00Z</dcterms:created>
  <dcterms:modified xsi:type="dcterms:W3CDTF">2022-02-18T16:01:00Z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https://csl.mendeley.com/styles/531230221/IJPP-new</vt:lpwstr>
  </property>
  <property fmtid="{D5CDD505-2E9C-101B-9397-08002B2CF9AE}" pid="13" name="Mendeley Recent Style Name 5_1">
    <vt:lpwstr>IJPP - Pauline Bombeck</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http://www.zotero.org/styles/sage-harvard</vt:lpwstr>
  </property>
  <property fmtid="{D5CDD505-2E9C-101B-9397-08002B2CF9AE}" pid="21" name="Mendeley Recent Style Name 9_1">
    <vt:lpwstr>SAGE - Harvard</vt:lpwstr>
  </property>
</Properties>
</file>